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color w:val="auto"/>
          <w:sz w:val="72"/>
          <w:szCs w:val="72"/>
        </w:rPr>
      </w:pPr>
      <w:bookmarkStart w:id="0" w:name="_Toc10436"/>
      <w:r>
        <w:rPr>
          <w:color w:val="auto"/>
          <w:sz w:val="72"/>
          <w:szCs w:val="72"/>
        </w:rPr>
        <w:t>建设项目环境影响报告表</w:t>
      </w:r>
      <w:bookmarkEnd w:id="0"/>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left"/>
        <w:rPr>
          <w:color w:val="auto"/>
        </w:rPr>
      </w:pPr>
    </w:p>
    <w:p>
      <w:pPr>
        <w:adjustRightInd w:val="0"/>
        <w:snapToGrid w:val="0"/>
        <w:spacing w:line="288" w:lineRule="auto"/>
        <w:ind w:left="1800" w:hanging="1800" w:hangingChars="500"/>
        <w:rPr>
          <w:rFonts w:hint="eastAsia" w:eastAsia="仿宋_GB2312"/>
          <w:color w:val="auto"/>
          <w:sz w:val="36"/>
          <w:szCs w:val="36"/>
          <w:u w:val="single"/>
          <w:lang w:eastAsia="zh-CN"/>
        </w:rPr>
      </w:pPr>
      <w:r>
        <w:rPr>
          <w:rFonts w:eastAsia="仿宋_GB2312"/>
          <w:color w:val="auto"/>
          <w:sz w:val="36"/>
          <w:szCs w:val="36"/>
        </w:rPr>
        <w:t>项目名称：</w:t>
      </w:r>
      <w:r>
        <w:rPr>
          <w:rFonts w:hint="eastAsia" w:eastAsia="仿宋_GB2312"/>
          <w:color w:val="auto"/>
          <w:w w:val="95"/>
          <w:sz w:val="36"/>
          <w:szCs w:val="36"/>
          <w:u w:val="single"/>
          <w:lang w:eastAsia="zh-CN"/>
        </w:rPr>
        <w:t>国道丹阿公路嘉荫（稻田村）至嘉逊界（双胜村）段改扩建工程项目A2标段沥青混凝土拌和站</w:t>
      </w:r>
    </w:p>
    <w:p>
      <w:pPr>
        <w:adjustRightInd w:val="0"/>
        <w:snapToGrid w:val="0"/>
        <w:spacing w:line="288" w:lineRule="auto"/>
        <w:ind w:left="3240" w:hanging="3240" w:hangingChars="900"/>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lang w:eastAsia="zh-CN"/>
        </w:rPr>
        <w:t>黑龙江省龙建路桥第二工程有限公司嘉荫分公司</w:t>
      </w:r>
      <w:r>
        <w:rPr>
          <w:rFonts w:hint="eastAsia" w:eastAsia="仿宋_GB2312"/>
          <w:color w:val="auto"/>
          <w:sz w:val="36"/>
          <w:szCs w:val="36"/>
          <w:u w:val="single"/>
        </w:rPr>
        <w:t xml:space="preserve">      </w:t>
      </w:r>
    </w:p>
    <w:p>
      <w:pPr>
        <w:adjustRightInd w:val="0"/>
        <w:snapToGrid w:val="0"/>
        <w:spacing w:line="288" w:lineRule="auto"/>
        <w:rPr>
          <w:rFonts w:eastAsia="仿宋_GB2312"/>
          <w:color w:val="auto"/>
          <w:sz w:val="36"/>
          <w:szCs w:val="36"/>
          <w:u w:val="single"/>
        </w:rPr>
      </w:pPr>
      <w:r>
        <w:rPr>
          <w:rFonts w:eastAsia="仿宋_GB2312"/>
          <w:color w:val="auto"/>
          <w:sz w:val="36"/>
          <w:szCs w:val="36"/>
        </w:rPr>
        <w:t>编制日期：</w:t>
      </w:r>
      <w:r>
        <w:rPr>
          <w:rFonts w:hint="eastAsia" w:eastAsia="仿宋_GB2312"/>
          <w:color w:val="auto"/>
          <w:sz w:val="36"/>
          <w:szCs w:val="36"/>
          <w:u w:val="single"/>
        </w:rPr>
        <w:t>202</w:t>
      </w:r>
      <w:r>
        <w:rPr>
          <w:rFonts w:hint="eastAsia" w:eastAsia="仿宋_GB2312"/>
          <w:color w:val="auto"/>
          <w:sz w:val="36"/>
          <w:szCs w:val="36"/>
          <w:u w:val="single"/>
          <w:lang w:val="en-US" w:eastAsia="zh-CN"/>
        </w:rPr>
        <w:t>6</w:t>
      </w:r>
      <w:r>
        <w:rPr>
          <w:rFonts w:eastAsia="仿宋_GB2312"/>
          <w:color w:val="auto"/>
          <w:sz w:val="36"/>
          <w:szCs w:val="36"/>
          <w:u w:val="single"/>
        </w:rPr>
        <w:t>年</w:t>
      </w:r>
      <w:r>
        <w:rPr>
          <w:rFonts w:hint="eastAsia" w:eastAsia="仿宋_GB2312"/>
          <w:color w:val="auto"/>
          <w:sz w:val="36"/>
          <w:szCs w:val="36"/>
          <w:u w:val="single"/>
          <w:lang w:val="en-US" w:eastAsia="zh-CN"/>
        </w:rPr>
        <w:t>2</w:t>
      </w:r>
      <w:r>
        <w:rPr>
          <w:rFonts w:eastAsia="仿宋_GB2312"/>
          <w:color w:val="auto"/>
          <w:sz w:val="36"/>
          <w:szCs w:val="36"/>
          <w:u w:val="single"/>
        </w:rPr>
        <w:t xml:space="preserve">月      </w:t>
      </w:r>
      <w:r>
        <w:rPr>
          <w:rFonts w:hint="eastAsia" w:eastAsia="仿宋_GB2312"/>
          <w:color w:val="auto"/>
          <w:sz w:val="36"/>
          <w:szCs w:val="36"/>
          <w:u w:val="single"/>
        </w:rPr>
        <w:t xml:space="preserve">       </w:t>
      </w:r>
    </w:p>
    <w:p>
      <w:pPr>
        <w:rPr>
          <w:color w:val="auto"/>
        </w:rPr>
      </w:pPr>
      <w:bookmarkStart w:id="1" w:name="_Hlk57884087"/>
    </w:p>
    <w:p>
      <w:pPr>
        <w:rPr>
          <w:color w:val="auto"/>
        </w:rPr>
      </w:pPr>
    </w:p>
    <w:p>
      <w:pPr>
        <w:pStyle w:val="37"/>
        <w:ind w:firstLine="0" w:firstLineChars="0"/>
        <w:rPr>
          <w:color w:val="auto"/>
        </w:rPr>
      </w:pPr>
    </w:p>
    <w:p>
      <w:pPr>
        <w:pStyle w:val="37"/>
        <w:ind w:firstLine="0" w:firstLineChars="0"/>
        <w:rPr>
          <w:color w:val="auto"/>
        </w:rPr>
      </w:pPr>
    </w:p>
    <w:p>
      <w:pPr>
        <w:pStyle w:val="37"/>
        <w:ind w:firstLine="0" w:firstLineChars="0"/>
        <w:rPr>
          <w:color w:val="auto"/>
        </w:rPr>
      </w:pPr>
    </w:p>
    <w:p>
      <w:pPr>
        <w:pStyle w:val="37"/>
        <w:ind w:firstLine="0" w:firstLineChars="0"/>
        <w:rPr>
          <w:color w:val="auto"/>
        </w:rPr>
      </w:pPr>
    </w:p>
    <w:p>
      <w:pPr>
        <w:pStyle w:val="37"/>
        <w:ind w:firstLine="0" w:firstLineChars="0"/>
        <w:rPr>
          <w:color w:val="auto"/>
        </w:rPr>
      </w:pPr>
    </w:p>
    <w:p>
      <w:pPr>
        <w:rPr>
          <w:color w:val="auto"/>
        </w:rPr>
      </w:pPr>
    </w:p>
    <w:bookmarkEnd w:id="1"/>
    <w:p>
      <w:pPr>
        <w:adjustRightInd w:val="0"/>
        <w:snapToGrid w:val="0"/>
        <w:spacing w:line="288" w:lineRule="auto"/>
        <w:jc w:val="center"/>
        <w:rPr>
          <w:rFonts w:eastAsia="仿宋_GB2312"/>
          <w:color w:val="auto"/>
          <w:sz w:val="36"/>
          <w:szCs w:val="36"/>
        </w:rPr>
      </w:pPr>
      <w:r>
        <w:rPr>
          <w:rFonts w:eastAsia="楷体_GB2312"/>
          <w:color w:val="auto"/>
          <w:sz w:val="36"/>
          <w:szCs w:val="36"/>
        </w:rPr>
        <w:t>中华人民共和国生态环境部制</w:t>
      </w:r>
    </w:p>
    <w:p>
      <w:pPr>
        <w:rPr>
          <w:b/>
          <w:bCs/>
          <w:color w:val="auto"/>
          <w:sz w:val="30"/>
          <w:szCs w:val="30"/>
          <w:lang w:val="zh-CN"/>
        </w:rPr>
      </w:pPr>
    </w:p>
    <w:p>
      <w:pPr>
        <w:pStyle w:val="37"/>
        <w:adjustRightInd w:val="0"/>
        <w:ind w:firstLine="0" w:firstLineChars="0"/>
        <w:jc w:val="center"/>
        <w:rPr>
          <w:b/>
          <w:bCs/>
          <w:color w:val="auto"/>
          <w:sz w:val="30"/>
          <w:szCs w:val="30"/>
          <w:lang w:val="zh-CN"/>
        </w:rPr>
      </w:pPr>
    </w:p>
    <w:p>
      <w:pPr>
        <w:pStyle w:val="37"/>
        <w:adjustRightInd w:val="0"/>
        <w:ind w:firstLine="0" w:firstLineChars="0"/>
        <w:jc w:val="center"/>
        <w:rPr>
          <w:b/>
          <w:bCs/>
          <w:color w:val="auto"/>
          <w:sz w:val="30"/>
          <w:szCs w:val="30"/>
          <w:lang w:val="zh-CN"/>
        </w:rPr>
        <w:sectPr>
          <w:headerReference r:id="rId3" w:type="default"/>
          <w:footerReference r:id="rId4" w:type="default"/>
          <w:pgSz w:w="11906" w:h="16838"/>
          <w:pgMar w:top="1701" w:right="1531" w:bottom="1701" w:left="1531" w:header="851" w:footer="1077" w:gutter="0"/>
          <w:pgNumType w:start="3"/>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sectPr>
          <w:footerReference r:id="rId5" w:type="default"/>
          <w:pgSz w:w="11906" w:h="16838"/>
          <w:pgMar w:top="1701" w:right="1531" w:bottom="1701" w:left="1531" w:header="851" w:footer="1077" w:gutter="0"/>
          <w:pgNumType w:fmt="upperRoman" w:start="1"/>
          <w:cols w:space="720" w:num="1"/>
          <w:docGrid w:linePitch="312" w:charSpace="0"/>
        </w:sectPr>
      </w:pPr>
    </w:p>
    <w:sdt>
      <w:sdtPr>
        <w:rPr>
          <w:rFonts w:ascii="宋体" w:hAnsi="宋体"/>
          <w:color w:val="auto"/>
          <w:sz w:val="21"/>
        </w:rPr>
        <w:id w:val="147481998"/>
        <w:docPartObj>
          <w:docPartGallery w:val="Table of Contents"/>
          <w:docPartUnique/>
        </w:docPartObj>
      </w:sdtPr>
      <w:sdtEndPr>
        <w:rPr>
          <w:rFonts w:ascii="Times New Roman" w:hAnsi="Times New Roman"/>
          <w:color w:val="auto"/>
          <w:sz w:val="24"/>
        </w:rPr>
      </w:sdtEndPr>
      <w:sdtContent>
        <w:p>
          <w:pPr>
            <w:spacing w:line="360" w:lineRule="auto"/>
            <w:jc w:val="center"/>
            <w:rPr>
              <w:rFonts w:ascii="宋体" w:hAnsi="宋体"/>
              <w:color w:val="auto"/>
              <w:sz w:val="21"/>
            </w:rPr>
          </w:pPr>
        </w:p>
        <w:p>
          <w:pPr>
            <w:spacing w:line="360" w:lineRule="auto"/>
            <w:jc w:val="center"/>
            <w:rPr>
              <w:color w:val="auto"/>
              <w:sz w:val="28"/>
              <w:szCs w:val="28"/>
            </w:rPr>
          </w:pPr>
          <w:r>
            <w:rPr>
              <w:rFonts w:ascii="宋体" w:hAnsi="宋体"/>
              <w:color w:val="auto"/>
              <w:sz w:val="28"/>
              <w:szCs w:val="28"/>
            </w:rPr>
            <w:t>目录</w:t>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_Toc29515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_Toc29515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_Toc28455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_Toc28455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_Toc16349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_Toc16349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_Toc17806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_Toc17806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_Toc16110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_Toc16110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_Toc7584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_Toc7584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_Toc8838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_Toc8838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_Toc27795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附图1 地理位置图</w:t>
          </w:r>
          <w:r>
            <w:rPr>
              <w:rFonts w:hint="default" w:ascii="Times New Roman" w:hAnsi="Times New Roman" w:eastAsia="宋体" w:cs="Times New Roman"/>
              <w:color w:val="auto"/>
              <w:sz w:val="24"/>
              <w:szCs w:val="24"/>
            </w:rPr>
            <w:drawing>
              <wp:inline distT="0" distB="0" distL="114300" distR="114300">
                <wp:extent cx="0" cy="0"/>
                <wp:effectExtent l="0" t="0" r="0"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1"/>
                        <a:stretch>
                          <a:fillRect/>
                        </a:stretch>
                      </pic:blipFill>
                      <pic:spPr>
                        <a:xfrm>
                          <a:off x="0" y="0"/>
                          <a:ext cx="0" cy="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_Toc27795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_Toc4384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附图2 平面布置图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_Toc4384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_Toc13451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附图3 环境保护目标图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_Toc13451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附件1 营业执照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_Toc2946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_Toc9634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 xml:space="preserve"> 生态环境分区管控分析报告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_Toc9634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_Toc4643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检测报告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_Toc4643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_Toc5167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附件</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 xml:space="preserve"> 核定总量计算说明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_Toc5167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 w:val="24"/>
            </w:rPr>
          </w:pPr>
          <w:r>
            <w:rPr>
              <w:rFonts w:hint="default" w:ascii="Times New Roman" w:hAnsi="Times New Roman" w:eastAsia="宋体" w:cs="Times New Roman"/>
              <w:color w:val="auto"/>
              <w:sz w:val="24"/>
              <w:szCs w:val="24"/>
            </w:rPr>
            <w:fldChar w:fldCharType="end"/>
          </w:r>
        </w:p>
      </w:sdtContent>
    </w:sdt>
    <w:p>
      <w:pPr>
        <w:rPr>
          <w:color w:val="auto"/>
        </w:rPr>
      </w:pPr>
    </w:p>
    <w:p>
      <w:pPr>
        <w:spacing w:line="360" w:lineRule="auto"/>
        <w:ind w:firstLine="480" w:firstLineChars="200"/>
        <w:rPr>
          <w:color w:val="auto"/>
        </w:rPr>
      </w:pPr>
    </w:p>
    <w:p>
      <w:pPr>
        <w:spacing w:line="360" w:lineRule="auto"/>
        <w:ind w:firstLine="480" w:firstLineChars="200"/>
        <w:rPr>
          <w:color w:val="auto"/>
        </w:rPr>
        <w:sectPr>
          <w:pgSz w:w="11906" w:h="16838"/>
          <w:pgMar w:top="1701" w:right="1531" w:bottom="1701" w:left="1531" w:header="851" w:footer="1077" w:gutter="0"/>
          <w:pgNumType w:fmt="upperRoman" w:start="1"/>
          <w:cols w:space="720" w:num="1"/>
          <w:docGrid w:linePitch="312" w:charSpace="0"/>
        </w:sectPr>
      </w:pPr>
    </w:p>
    <w:p>
      <w:pPr>
        <w:jc w:val="center"/>
        <w:outlineLvl w:val="0"/>
        <w:rPr>
          <w:rFonts w:eastAsia="黑体"/>
          <w:color w:val="auto"/>
          <w:sz w:val="30"/>
          <w:szCs w:val="30"/>
        </w:rPr>
      </w:pPr>
      <w:bookmarkStart w:id="2" w:name="_Toc14418"/>
      <w:bookmarkStart w:id="3" w:name="_Toc6172"/>
      <w:bookmarkStart w:id="4" w:name="_Toc31345"/>
      <w:bookmarkStart w:id="5" w:name="_Toc30749"/>
      <w:bookmarkStart w:id="6" w:name="_Toc29515"/>
      <w:r>
        <w:rPr>
          <w:rFonts w:eastAsia="黑体"/>
          <w:color w:val="auto"/>
          <w:sz w:val="30"/>
          <w:szCs w:val="30"/>
        </w:rPr>
        <w:t>一、建设项目基本情况</w:t>
      </w:r>
      <w:bookmarkEnd w:id="2"/>
      <w:bookmarkEnd w:id="3"/>
      <w:bookmarkEnd w:id="4"/>
      <w:bookmarkEnd w:id="5"/>
      <w:bookmarkEnd w:id="6"/>
    </w:p>
    <w:tbl>
      <w:tblPr>
        <w:tblStyle w:val="31"/>
        <w:tblW w:w="8399"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
      <w:tblGrid>
        <w:gridCol w:w="802"/>
        <w:gridCol w:w="2120"/>
        <w:gridCol w:w="2037"/>
        <w:gridCol w:w="3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建设项目名称</w:t>
            </w:r>
          </w:p>
        </w:tc>
        <w:tc>
          <w:tcPr>
            <w:tcW w:w="7597" w:type="dxa"/>
            <w:gridSpan w:val="3"/>
            <w:tcBorders>
              <w:tl2br w:val="nil"/>
              <w:tr2bl w:val="nil"/>
            </w:tcBorders>
            <w:vAlign w:val="center"/>
          </w:tcPr>
          <w:p>
            <w:pPr>
              <w:jc w:val="center"/>
              <w:rPr>
                <w:rFonts w:hint="eastAsia" w:eastAsia="宋体"/>
                <w:color w:val="auto"/>
                <w:lang w:eastAsia="zh-CN"/>
              </w:rPr>
            </w:pPr>
            <w:r>
              <w:rPr>
                <w:rFonts w:hint="eastAsia"/>
                <w:color w:val="auto"/>
                <w:lang w:eastAsia="zh-CN"/>
              </w:rPr>
              <w:t>国道丹阿公路嘉荫（稻田村）至嘉逊界（双胜村）段改扩建工程项目A2标段沥青混凝土拌和站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项目代码</w:t>
            </w:r>
          </w:p>
        </w:tc>
        <w:tc>
          <w:tcPr>
            <w:tcW w:w="7597" w:type="dxa"/>
            <w:gridSpan w:val="3"/>
            <w:tcBorders>
              <w:tl2br w:val="nil"/>
              <w:tr2bl w:val="nil"/>
            </w:tcBorders>
            <w:vAlign w:val="center"/>
          </w:tcPr>
          <w:p>
            <w:pPr>
              <w:jc w:val="center"/>
              <w:rPr>
                <w:color w:val="auto"/>
              </w:rPr>
            </w:pPr>
            <w:r>
              <w:rPr>
                <w:color w:val="auto"/>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建设单位联系人</w:t>
            </w:r>
          </w:p>
        </w:tc>
        <w:tc>
          <w:tcPr>
            <w:tcW w:w="2120" w:type="dxa"/>
            <w:tcBorders>
              <w:tl2br w:val="nil"/>
              <w:tr2bl w:val="nil"/>
            </w:tcBorders>
            <w:vAlign w:val="center"/>
          </w:tcPr>
          <w:p>
            <w:pPr>
              <w:jc w:val="center"/>
              <w:rPr>
                <w:rFonts w:hint="default" w:eastAsia="宋体"/>
                <w:color w:val="auto"/>
                <w:lang w:val="en-US" w:eastAsia="zh-CN"/>
              </w:rPr>
            </w:pPr>
          </w:p>
        </w:tc>
        <w:tc>
          <w:tcPr>
            <w:tcW w:w="2037" w:type="dxa"/>
            <w:tcBorders>
              <w:tl2br w:val="nil"/>
              <w:tr2bl w:val="nil"/>
            </w:tcBorders>
            <w:vAlign w:val="center"/>
          </w:tcPr>
          <w:p>
            <w:pPr>
              <w:jc w:val="center"/>
              <w:rPr>
                <w:color w:val="auto"/>
              </w:rPr>
            </w:pPr>
            <w:r>
              <w:rPr>
                <w:color w:val="auto"/>
              </w:rPr>
              <w:t>联系方式</w:t>
            </w:r>
          </w:p>
        </w:tc>
        <w:tc>
          <w:tcPr>
            <w:tcW w:w="3440" w:type="dxa"/>
            <w:tcBorders>
              <w:tl2br w:val="nil"/>
              <w:tr2bl w:val="nil"/>
            </w:tcBorders>
            <w:vAlign w:val="center"/>
          </w:tcPr>
          <w:p>
            <w:pPr>
              <w:jc w:val="center"/>
              <w:rPr>
                <w:rFonts w:hint="default" w:eastAsia="宋体"/>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建设地点</w:t>
            </w:r>
          </w:p>
        </w:tc>
        <w:tc>
          <w:tcPr>
            <w:tcW w:w="7597" w:type="dxa"/>
            <w:gridSpan w:val="3"/>
            <w:tcBorders>
              <w:tl2br w:val="nil"/>
              <w:tr2bl w:val="nil"/>
            </w:tcBorders>
            <w:vAlign w:val="center"/>
          </w:tcPr>
          <w:p>
            <w:pPr>
              <w:jc w:val="center"/>
              <w:rPr>
                <w:rFonts w:hint="default" w:eastAsia="宋体"/>
                <w:color w:val="auto"/>
                <w:lang w:val="en-US" w:eastAsia="zh-CN"/>
              </w:rPr>
            </w:pPr>
            <w:r>
              <w:rPr>
                <w:rFonts w:hint="eastAsia"/>
                <w:color w:val="auto"/>
              </w:rPr>
              <w:t>黑龙江省</w:t>
            </w:r>
            <w:r>
              <w:rPr>
                <w:rFonts w:hint="eastAsia"/>
                <w:color w:val="auto"/>
                <w:lang w:val="en-US" w:eastAsia="zh-CN"/>
              </w:rPr>
              <w:t>伊春</w:t>
            </w:r>
            <w:r>
              <w:rPr>
                <w:rFonts w:hint="eastAsia"/>
                <w:color w:val="auto"/>
              </w:rPr>
              <w:t>市</w:t>
            </w:r>
            <w:r>
              <w:rPr>
                <w:rFonts w:hint="eastAsia"/>
                <w:color w:val="auto"/>
                <w:lang w:val="en-US" w:eastAsia="zh-CN"/>
              </w:rPr>
              <w:t>嘉荫县跃进村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地理坐标</w:t>
            </w:r>
          </w:p>
        </w:tc>
        <w:tc>
          <w:tcPr>
            <w:tcW w:w="7597" w:type="dxa"/>
            <w:gridSpan w:val="3"/>
            <w:tcBorders>
              <w:tl2br w:val="nil"/>
              <w:tr2bl w:val="nil"/>
            </w:tcBorders>
            <w:vAlign w:val="center"/>
          </w:tcPr>
          <w:p>
            <w:pPr>
              <w:jc w:val="center"/>
              <w:rPr>
                <w:color w:val="auto"/>
              </w:rPr>
            </w:pPr>
            <w:r>
              <w:rPr>
                <w:color w:val="auto"/>
              </w:rPr>
              <w:t>东经：</w:t>
            </w:r>
            <w:r>
              <w:rPr>
                <w:color w:val="auto"/>
                <w:u w:val="single"/>
              </w:rPr>
              <w:t>1</w:t>
            </w:r>
            <w:r>
              <w:rPr>
                <w:rFonts w:hint="eastAsia"/>
                <w:color w:val="auto"/>
                <w:u w:val="single"/>
                <w:lang w:val="en-US" w:eastAsia="zh-CN"/>
              </w:rPr>
              <w:t>30</w:t>
            </w:r>
            <w:r>
              <w:rPr>
                <w:color w:val="auto"/>
              </w:rPr>
              <w:t>度</w:t>
            </w:r>
            <w:r>
              <w:rPr>
                <w:rFonts w:hint="eastAsia"/>
                <w:color w:val="auto"/>
                <w:u w:val="single"/>
                <w:lang w:val="en-US" w:eastAsia="zh-CN"/>
              </w:rPr>
              <w:t>1</w:t>
            </w:r>
            <w:r>
              <w:rPr>
                <w:color w:val="auto"/>
              </w:rPr>
              <w:t>分</w:t>
            </w:r>
            <w:r>
              <w:rPr>
                <w:rFonts w:hint="eastAsia"/>
                <w:color w:val="auto"/>
                <w:u w:val="single"/>
                <w:lang w:val="en-US" w:eastAsia="zh-CN"/>
              </w:rPr>
              <w:t>38.405</w:t>
            </w:r>
            <w:r>
              <w:rPr>
                <w:color w:val="auto"/>
              </w:rPr>
              <w:t>秒，北纬：</w:t>
            </w:r>
            <w:r>
              <w:rPr>
                <w:rFonts w:hint="eastAsia"/>
                <w:color w:val="auto"/>
                <w:u w:val="single"/>
              </w:rPr>
              <w:t>4</w:t>
            </w:r>
            <w:r>
              <w:rPr>
                <w:rFonts w:hint="eastAsia"/>
                <w:color w:val="auto"/>
                <w:u w:val="single"/>
                <w:lang w:val="en-US" w:eastAsia="zh-CN"/>
              </w:rPr>
              <w:t>8</w:t>
            </w:r>
            <w:r>
              <w:rPr>
                <w:color w:val="auto"/>
              </w:rPr>
              <w:t>度</w:t>
            </w:r>
            <w:r>
              <w:rPr>
                <w:rFonts w:hint="eastAsia"/>
                <w:color w:val="auto"/>
                <w:u w:val="single"/>
                <w:lang w:val="en-US" w:eastAsia="zh-CN"/>
              </w:rPr>
              <w:t>54</w:t>
            </w:r>
            <w:r>
              <w:rPr>
                <w:color w:val="auto"/>
              </w:rPr>
              <w:t>分</w:t>
            </w:r>
            <w:r>
              <w:rPr>
                <w:rFonts w:hint="eastAsia"/>
                <w:color w:val="auto"/>
                <w:u w:val="single"/>
                <w:lang w:val="en-US" w:eastAsia="zh-CN"/>
              </w:rPr>
              <w:t>54.246</w:t>
            </w:r>
            <w:r>
              <w:rPr>
                <w:color w:val="auto"/>
              </w:rPr>
              <w:t>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1224" w:hRule="atLeast"/>
        </w:trPr>
        <w:tc>
          <w:tcPr>
            <w:tcW w:w="80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国民经济</w:t>
            </w:r>
          </w:p>
          <w:p>
            <w:pPr>
              <w:keepNext w:val="0"/>
              <w:keepLines w:val="0"/>
              <w:suppressLineNumbers w:val="0"/>
              <w:adjustRightInd w:val="0"/>
              <w:snapToGrid w:val="0"/>
              <w:spacing w:before="0" w:beforeAutospacing="0" w:after="0" w:afterAutospacing="0"/>
              <w:ind w:left="0" w:leftChars="0" w:right="0" w:rightChars="0"/>
              <w:jc w:val="center"/>
              <w:rPr>
                <w:b w:val="0"/>
                <w:bCs w:val="0"/>
                <w:color w:val="auto"/>
                <w:sz w:val="24"/>
                <w:szCs w:val="24"/>
              </w:rPr>
            </w:pPr>
            <w:r>
              <w:rPr>
                <w:rFonts w:hint="default" w:ascii="Times New Roman" w:hAnsi="Times New Roman" w:cs="Times New Roman"/>
                <w:b w:val="0"/>
                <w:bCs w:val="0"/>
                <w:color w:val="auto"/>
                <w:sz w:val="24"/>
                <w:szCs w:val="24"/>
              </w:rPr>
              <w:t>行业类别</w:t>
            </w:r>
          </w:p>
        </w:tc>
        <w:tc>
          <w:tcPr>
            <w:tcW w:w="212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C3099 其他非金属矿物制品制造</w:t>
            </w:r>
          </w:p>
          <w:p>
            <w:pPr>
              <w:pStyle w:val="3"/>
              <w:keepNext w:val="0"/>
              <w:keepLines w:val="0"/>
              <w:suppressLineNumbers w:val="0"/>
              <w:spacing w:beforeAutospacing="0" w:afterAutospacing="0"/>
              <w:ind w:left="0" w:leftChars="0"/>
              <w:jc w:val="center"/>
              <w:rPr>
                <w:b w:val="0"/>
                <w:bCs w:val="0"/>
                <w:color w:val="auto"/>
                <w:sz w:val="24"/>
                <w:szCs w:val="24"/>
                <w:lang w:bidi="ar"/>
              </w:rPr>
            </w:pPr>
            <w:r>
              <w:rPr>
                <w:rFonts w:hint="default" w:ascii="Times New Roman" w:hAnsi="Times New Roman" w:cs="Times New Roman"/>
                <w:b w:val="0"/>
                <w:bCs w:val="0"/>
                <w:color w:val="auto"/>
                <w:sz w:val="24"/>
                <w:szCs w:val="24"/>
              </w:rPr>
              <w:t>D4430热力生产和供应</w:t>
            </w:r>
          </w:p>
        </w:tc>
        <w:tc>
          <w:tcPr>
            <w:tcW w:w="203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建设项目</w:t>
            </w:r>
          </w:p>
          <w:p>
            <w:pPr>
              <w:keepNext w:val="0"/>
              <w:keepLines w:val="0"/>
              <w:suppressLineNumbers w:val="0"/>
              <w:adjustRightInd w:val="0"/>
              <w:snapToGrid w:val="0"/>
              <w:spacing w:before="0" w:beforeAutospacing="0" w:after="0" w:afterAutospacing="0"/>
              <w:ind w:left="0" w:leftChars="0" w:right="0" w:rightChars="0"/>
              <w:jc w:val="center"/>
              <w:rPr>
                <w:b w:val="0"/>
                <w:bCs w:val="0"/>
                <w:color w:val="auto"/>
                <w:sz w:val="24"/>
                <w:szCs w:val="24"/>
              </w:rPr>
            </w:pPr>
            <w:r>
              <w:rPr>
                <w:rFonts w:hint="default" w:ascii="Times New Roman" w:hAnsi="Times New Roman" w:cs="Times New Roman"/>
                <w:b w:val="0"/>
                <w:bCs w:val="0"/>
                <w:color w:val="auto"/>
                <w:sz w:val="24"/>
                <w:szCs w:val="24"/>
              </w:rPr>
              <w:t>行业类别</w:t>
            </w:r>
          </w:p>
        </w:tc>
        <w:tc>
          <w:tcPr>
            <w:tcW w:w="344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“二十七、非金属矿物制品业 30”</w:t>
            </w:r>
            <w:r>
              <w:rPr>
                <w:rFonts w:hint="eastAsia"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t>“60 耐火材料制品制造 308；石墨及其他非金属矿物制品制造 309”</w:t>
            </w:r>
            <w:r>
              <w:rPr>
                <w:rFonts w:hint="eastAsia"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t>“其他”</w:t>
            </w:r>
          </w:p>
          <w:p>
            <w:pPr>
              <w:pStyle w:val="3"/>
              <w:keepNext w:val="0"/>
              <w:keepLines w:val="0"/>
              <w:suppressLineNumbers w:val="0"/>
              <w:spacing w:before="0" w:beforeAutospacing="0" w:after="0" w:afterAutospacing="0" w:line="0" w:lineRule="atLeast"/>
              <w:ind w:left="0" w:leftChars="0"/>
              <w:jc w:val="center"/>
              <w:rPr>
                <w:rFonts w:ascii="Times New Roman" w:hAnsi="Times New Roman" w:eastAsia="宋体" w:cs="Times New Roman"/>
                <w:b w:val="0"/>
                <w:bCs w:val="0"/>
                <w:color w:val="auto"/>
                <w:sz w:val="24"/>
                <w:szCs w:val="24"/>
                <w:lang w:bidi="ar"/>
              </w:rPr>
            </w:pPr>
            <w:r>
              <w:rPr>
                <w:rFonts w:hint="default" w:ascii="Times New Roman" w:hAnsi="Times New Roman" w:cs="Times New Roman"/>
                <w:b w:val="0"/>
                <w:bCs w:val="0"/>
                <w:color w:val="auto"/>
                <w:sz w:val="24"/>
                <w:szCs w:val="24"/>
              </w:rPr>
              <w:t>“四十一、电力、热力生产和供应业”</w:t>
            </w:r>
            <w:r>
              <w:rPr>
                <w:rFonts w:hint="eastAsia"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t>“91 热力生产和供应工程（包括建设单位自建自用的供热工程）”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建设性质</w:t>
            </w:r>
          </w:p>
        </w:tc>
        <w:tc>
          <w:tcPr>
            <w:tcW w:w="2120" w:type="dxa"/>
            <w:tcBorders>
              <w:tl2br w:val="nil"/>
              <w:tr2bl w:val="nil"/>
            </w:tcBorders>
            <w:vAlign w:val="center"/>
          </w:tcPr>
          <w:p>
            <w:pPr>
              <w:rPr>
                <w:color w:val="auto"/>
              </w:rPr>
            </w:pPr>
            <w:r>
              <w:rPr>
                <w:color w:val="auto"/>
              </w:rPr>
              <w:sym w:font="Wingdings" w:char="00FE"/>
            </w:r>
            <w:r>
              <w:rPr>
                <w:color w:val="auto"/>
              </w:rPr>
              <w:t>新建（迁建）</w:t>
            </w:r>
          </w:p>
          <w:p>
            <w:pPr>
              <w:rPr>
                <w:color w:val="auto"/>
              </w:rPr>
            </w:pPr>
            <w:r>
              <w:rPr>
                <w:color w:val="auto"/>
              </w:rPr>
              <w:sym w:font="Wingdings" w:char="00A8"/>
            </w:r>
            <w:r>
              <w:rPr>
                <w:color w:val="auto"/>
              </w:rPr>
              <w:t>改建</w:t>
            </w:r>
          </w:p>
          <w:p>
            <w:pPr>
              <w:rPr>
                <w:color w:val="auto"/>
              </w:rPr>
            </w:pPr>
            <w:r>
              <w:rPr>
                <w:color w:val="auto"/>
              </w:rPr>
              <w:sym w:font="Wingdings" w:char="00A8"/>
            </w:r>
            <w:r>
              <w:rPr>
                <w:color w:val="auto"/>
              </w:rPr>
              <w:t>扩建</w:t>
            </w:r>
          </w:p>
          <w:p>
            <w:pPr>
              <w:rPr>
                <w:color w:val="auto"/>
              </w:rPr>
            </w:pPr>
            <w:r>
              <w:rPr>
                <w:color w:val="auto"/>
              </w:rPr>
              <w:sym w:font="Wingdings" w:char="00A8"/>
            </w:r>
            <w:r>
              <w:rPr>
                <w:color w:val="auto"/>
              </w:rPr>
              <w:t>技术改造</w:t>
            </w:r>
          </w:p>
        </w:tc>
        <w:tc>
          <w:tcPr>
            <w:tcW w:w="2037" w:type="dxa"/>
            <w:tcBorders>
              <w:tl2br w:val="nil"/>
              <w:tr2bl w:val="nil"/>
            </w:tcBorders>
            <w:vAlign w:val="center"/>
          </w:tcPr>
          <w:p>
            <w:pPr>
              <w:jc w:val="center"/>
              <w:rPr>
                <w:color w:val="auto"/>
              </w:rPr>
            </w:pPr>
            <w:r>
              <w:rPr>
                <w:color w:val="auto"/>
              </w:rPr>
              <w:t>建设项目</w:t>
            </w:r>
          </w:p>
          <w:p>
            <w:pPr>
              <w:jc w:val="center"/>
              <w:rPr>
                <w:color w:val="auto"/>
              </w:rPr>
            </w:pPr>
            <w:r>
              <w:rPr>
                <w:color w:val="auto"/>
              </w:rPr>
              <w:t>申报情形</w:t>
            </w:r>
          </w:p>
        </w:tc>
        <w:tc>
          <w:tcPr>
            <w:tcW w:w="3440" w:type="dxa"/>
            <w:tcBorders>
              <w:tl2br w:val="nil"/>
              <w:tr2bl w:val="nil"/>
            </w:tcBorders>
            <w:vAlign w:val="center"/>
          </w:tcPr>
          <w:p>
            <w:pPr>
              <w:jc w:val="left"/>
              <w:rPr>
                <w:color w:val="auto"/>
              </w:rPr>
            </w:pPr>
            <w:r>
              <w:rPr>
                <w:color w:val="auto"/>
              </w:rPr>
              <w:sym w:font="Wingdings" w:char="00FE"/>
            </w:r>
            <w:r>
              <w:rPr>
                <w:color w:val="auto"/>
              </w:rPr>
              <w:t>首次申报项目</w:t>
            </w:r>
          </w:p>
          <w:p>
            <w:pPr>
              <w:jc w:val="left"/>
              <w:rPr>
                <w:color w:val="auto"/>
              </w:rPr>
            </w:pPr>
            <w:r>
              <w:rPr>
                <w:color w:val="auto"/>
              </w:rPr>
              <w:sym w:font="Wingdings" w:char="00A8"/>
            </w:r>
            <w:r>
              <w:rPr>
                <w:color w:val="auto"/>
              </w:rPr>
              <w:t>不予批准后再次申报项目</w:t>
            </w:r>
          </w:p>
          <w:p>
            <w:pPr>
              <w:jc w:val="left"/>
              <w:rPr>
                <w:color w:val="auto"/>
              </w:rPr>
            </w:pPr>
            <w:r>
              <w:rPr>
                <w:color w:val="auto"/>
              </w:rPr>
              <w:sym w:font="Wingdings" w:char="00A8"/>
            </w:r>
            <w:r>
              <w:rPr>
                <w:color w:val="auto"/>
              </w:rPr>
              <w:t>超五年重新审核项目</w:t>
            </w:r>
          </w:p>
          <w:p>
            <w:pPr>
              <w:jc w:val="left"/>
              <w:rPr>
                <w:color w:val="auto"/>
              </w:rPr>
            </w:pPr>
            <w:r>
              <w:rPr>
                <w:color w:val="auto"/>
              </w:rPr>
              <w:sym w:font="Wingdings" w:char="00A8"/>
            </w:r>
            <w:r>
              <w:rPr>
                <w:color w:val="auto"/>
              </w:rP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项目审批（核准/备案）部门（选填）</w:t>
            </w:r>
          </w:p>
        </w:tc>
        <w:tc>
          <w:tcPr>
            <w:tcW w:w="2120" w:type="dxa"/>
            <w:tcBorders>
              <w:tl2br w:val="nil"/>
              <w:tr2bl w:val="nil"/>
            </w:tcBorders>
            <w:vAlign w:val="center"/>
          </w:tcPr>
          <w:p>
            <w:pPr>
              <w:jc w:val="center"/>
              <w:rPr>
                <w:color w:val="auto"/>
              </w:rPr>
            </w:pPr>
            <w:r>
              <w:rPr>
                <w:color w:val="auto"/>
              </w:rPr>
              <w:t>/</w:t>
            </w:r>
          </w:p>
        </w:tc>
        <w:tc>
          <w:tcPr>
            <w:tcW w:w="2037" w:type="dxa"/>
            <w:tcBorders>
              <w:tl2br w:val="nil"/>
              <w:tr2bl w:val="nil"/>
            </w:tcBorders>
            <w:vAlign w:val="center"/>
          </w:tcPr>
          <w:p>
            <w:pPr>
              <w:jc w:val="center"/>
              <w:rPr>
                <w:color w:val="auto"/>
              </w:rPr>
            </w:pPr>
            <w:r>
              <w:rPr>
                <w:color w:val="auto"/>
              </w:rPr>
              <w:t>项目审批（核准/备案）文号（选填）</w:t>
            </w:r>
          </w:p>
        </w:tc>
        <w:tc>
          <w:tcPr>
            <w:tcW w:w="3440" w:type="dxa"/>
            <w:tcBorders>
              <w:tl2br w:val="nil"/>
              <w:tr2bl w:val="nil"/>
            </w:tcBorders>
            <w:vAlign w:val="center"/>
          </w:tcPr>
          <w:p>
            <w:pPr>
              <w:jc w:val="center"/>
              <w:rPr>
                <w:color w:val="auto"/>
              </w:rPr>
            </w:pP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总投资（万元）</w:t>
            </w:r>
          </w:p>
        </w:tc>
        <w:tc>
          <w:tcPr>
            <w:tcW w:w="2120" w:type="dxa"/>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500</w:t>
            </w:r>
          </w:p>
        </w:tc>
        <w:tc>
          <w:tcPr>
            <w:tcW w:w="2037" w:type="dxa"/>
            <w:tcBorders>
              <w:tl2br w:val="nil"/>
              <w:tr2bl w:val="nil"/>
            </w:tcBorders>
            <w:vAlign w:val="center"/>
          </w:tcPr>
          <w:p>
            <w:pPr>
              <w:jc w:val="center"/>
              <w:rPr>
                <w:color w:val="auto"/>
              </w:rPr>
            </w:pPr>
            <w:r>
              <w:rPr>
                <w:color w:val="auto"/>
              </w:rPr>
              <w:t>环保投资（万元）</w:t>
            </w:r>
          </w:p>
        </w:tc>
        <w:tc>
          <w:tcPr>
            <w:tcW w:w="3440" w:type="dxa"/>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环保投资占比（%）</w:t>
            </w:r>
          </w:p>
        </w:tc>
        <w:tc>
          <w:tcPr>
            <w:tcW w:w="2120" w:type="dxa"/>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5.4</w:t>
            </w:r>
          </w:p>
        </w:tc>
        <w:tc>
          <w:tcPr>
            <w:tcW w:w="2037" w:type="dxa"/>
            <w:tcBorders>
              <w:tl2br w:val="nil"/>
              <w:tr2bl w:val="nil"/>
            </w:tcBorders>
            <w:vAlign w:val="center"/>
          </w:tcPr>
          <w:p>
            <w:pPr>
              <w:jc w:val="center"/>
              <w:rPr>
                <w:color w:val="auto"/>
              </w:rPr>
            </w:pPr>
            <w:r>
              <w:rPr>
                <w:color w:val="auto"/>
              </w:rPr>
              <w:t>施工工期</w:t>
            </w:r>
          </w:p>
        </w:tc>
        <w:tc>
          <w:tcPr>
            <w:tcW w:w="3440" w:type="dxa"/>
            <w:tcBorders>
              <w:tl2br w:val="nil"/>
              <w:tr2bl w:val="nil"/>
            </w:tcBorders>
            <w:vAlign w:val="center"/>
          </w:tcPr>
          <w:p>
            <w:pPr>
              <w:jc w:val="center"/>
              <w:rPr>
                <w:rFonts w:hint="default" w:eastAsia="宋体"/>
                <w:color w:val="auto"/>
                <w:lang w:val="en-US" w:eastAsia="zh-CN"/>
              </w:rPr>
            </w:pPr>
            <w:r>
              <w:rPr>
                <w:color w:val="auto"/>
              </w:rPr>
              <w:t>202</w:t>
            </w:r>
            <w:r>
              <w:rPr>
                <w:rFonts w:hint="eastAsia"/>
                <w:color w:val="auto"/>
                <w:lang w:val="en-US" w:eastAsia="zh-CN"/>
              </w:rPr>
              <w:t>6</w:t>
            </w:r>
            <w:r>
              <w:rPr>
                <w:color w:val="auto"/>
              </w:rPr>
              <w:t>年</w:t>
            </w:r>
            <w:r>
              <w:rPr>
                <w:rFonts w:hint="eastAsia"/>
                <w:color w:val="auto"/>
                <w:lang w:val="en-US" w:eastAsia="zh-CN"/>
              </w:rPr>
              <w:t>4</w:t>
            </w:r>
            <w:r>
              <w:rPr>
                <w:color w:val="auto"/>
              </w:rPr>
              <w:t>月</w:t>
            </w:r>
            <w:r>
              <w:rPr>
                <w:rFonts w:hint="eastAsia"/>
                <w:color w:val="auto"/>
                <w:lang w:eastAsia="zh-CN"/>
              </w:rPr>
              <w:t>—</w:t>
            </w:r>
            <w:r>
              <w:rPr>
                <w:rFonts w:hint="eastAsia"/>
                <w:color w:val="auto"/>
                <w:lang w:val="en-US" w:eastAsia="zh-CN"/>
              </w:rPr>
              <w:t>2026年6月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是否开工建设</w:t>
            </w:r>
          </w:p>
        </w:tc>
        <w:tc>
          <w:tcPr>
            <w:tcW w:w="2120" w:type="dxa"/>
            <w:tcBorders>
              <w:tl2br w:val="nil"/>
              <w:tr2bl w:val="nil"/>
            </w:tcBorders>
            <w:vAlign w:val="center"/>
          </w:tcPr>
          <w:p>
            <w:pPr>
              <w:rPr>
                <w:color w:val="auto"/>
              </w:rPr>
            </w:pPr>
            <w:r>
              <w:rPr>
                <w:color w:val="auto"/>
              </w:rPr>
              <w:sym w:font="Wingdings" w:char="00FE"/>
            </w:r>
            <w:r>
              <w:rPr>
                <w:color w:val="auto"/>
              </w:rPr>
              <w:t>否</w:t>
            </w:r>
          </w:p>
          <w:p>
            <w:pPr>
              <w:rPr>
                <w:color w:val="auto"/>
              </w:rPr>
            </w:pPr>
            <w:r>
              <w:rPr>
                <w:color w:val="auto"/>
              </w:rPr>
              <w:sym w:font="Wingdings" w:char="00A8"/>
            </w:r>
            <w:r>
              <w:rPr>
                <w:color w:val="auto"/>
              </w:rPr>
              <w:t>是：</w:t>
            </w:r>
            <w:r>
              <w:rPr>
                <w:color w:val="auto"/>
                <w:u w:val="single"/>
              </w:rPr>
              <w:t xml:space="preserve">         </w:t>
            </w:r>
          </w:p>
        </w:tc>
        <w:tc>
          <w:tcPr>
            <w:tcW w:w="2037" w:type="dxa"/>
            <w:tcBorders>
              <w:tl2br w:val="nil"/>
              <w:tr2bl w:val="nil"/>
            </w:tcBorders>
            <w:vAlign w:val="center"/>
          </w:tcPr>
          <w:p>
            <w:pPr>
              <w:jc w:val="center"/>
              <w:rPr>
                <w:color w:val="auto"/>
              </w:rPr>
            </w:pPr>
            <w:r>
              <w:rPr>
                <w:color w:val="auto"/>
              </w:rPr>
              <w:t>用地（用海）</w:t>
            </w:r>
          </w:p>
          <w:p>
            <w:pPr>
              <w:jc w:val="center"/>
              <w:rPr>
                <w:color w:val="auto"/>
              </w:rPr>
            </w:pPr>
            <w:r>
              <w:rPr>
                <w:color w:val="auto"/>
              </w:rPr>
              <w:t>面积（m</w:t>
            </w:r>
            <w:r>
              <w:rPr>
                <w:color w:val="auto"/>
                <w:vertAlign w:val="superscript"/>
              </w:rPr>
              <w:t>2</w:t>
            </w:r>
            <w:r>
              <w:rPr>
                <w:color w:val="auto"/>
              </w:rPr>
              <w:t>）</w:t>
            </w:r>
          </w:p>
        </w:tc>
        <w:tc>
          <w:tcPr>
            <w:tcW w:w="3440" w:type="dxa"/>
            <w:tcBorders>
              <w:tl2br w:val="nil"/>
              <w:tr2bl w:val="nil"/>
            </w:tcBorders>
            <w:vAlign w:val="center"/>
          </w:tcPr>
          <w:p>
            <w:pPr>
              <w:jc w:val="center"/>
              <w:rPr>
                <w:color w:val="auto"/>
              </w:rPr>
            </w:pPr>
            <w:r>
              <w:rPr>
                <w:rFonts w:hint="eastAsia"/>
                <w:color w:val="auto"/>
                <w:lang w:val="en-US" w:eastAsia="zh-CN"/>
              </w:rPr>
              <w:t>3100</w:t>
            </w:r>
            <w:r>
              <w:rPr>
                <w:rFonts w:hint="eastAsia"/>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专项评价设置情况</w:t>
            </w:r>
          </w:p>
        </w:tc>
        <w:tc>
          <w:tcPr>
            <w:tcW w:w="7597" w:type="dxa"/>
            <w:gridSpan w:val="3"/>
            <w:tcBorders>
              <w:tl2br w:val="nil"/>
              <w:tr2bl w:val="nil"/>
            </w:tcBorders>
            <w:vAlign w:val="center"/>
          </w:tcPr>
          <w:p>
            <w:pPr>
              <w:spacing w:line="360" w:lineRule="auto"/>
              <w:ind w:firstLine="480" w:firstLineChars="200"/>
              <w:rPr>
                <w:color w:val="auto"/>
              </w:rPr>
            </w:pPr>
            <w:r>
              <w:rPr>
                <w:color w:val="auto"/>
              </w:rPr>
              <w:t>根据《建设项目环境影响报告表编制技术指南（污染影响类）（试行）》要求，土壤、声环境不开展专项评价。本项目不涉及集中式饮用水水源和热水、矿泉水、温泉等特殊地下水资源保护区，不开展地下水专项评价工作。项目专项设置情况详见下表。</w:t>
            </w:r>
          </w:p>
          <w:p>
            <w:pPr>
              <w:pStyle w:val="55"/>
              <w:rPr>
                <w:color w:val="auto"/>
                <w:szCs w:val="24"/>
              </w:rPr>
            </w:pPr>
            <w:r>
              <w:rPr>
                <w:color w:val="auto"/>
                <w:szCs w:val="24"/>
              </w:rPr>
              <w:t xml:space="preserve"> 专项评价设置原则表</w:t>
            </w:r>
          </w:p>
          <w:tbl>
            <w:tblPr>
              <w:tblStyle w:val="30"/>
              <w:tblW w:w="7436"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953"/>
              <w:gridCol w:w="3595"/>
              <w:gridCol w:w="1807"/>
              <w:gridCol w:w="10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53"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专项</w:t>
                  </w:r>
                </w:p>
              </w:tc>
              <w:tc>
                <w:tcPr>
                  <w:tcW w:w="3595"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《编制技术指南》要求</w:t>
                  </w:r>
                </w:p>
              </w:tc>
              <w:tc>
                <w:tcPr>
                  <w:tcW w:w="1807"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本项目实际情况</w:t>
                  </w:r>
                </w:p>
              </w:tc>
              <w:tc>
                <w:tcPr>
                  <w:tcW w:w="1081"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是否设置专项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53"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大气专项</w:t>
                  </w:r>
                </w:p>
              </w:tc>
              <w:tc>
                <w:tcPr>
                  <w:tcW w:w="3595" w:type="dxa"/>
                  <w:tcBorders>
                    <w:tl2br w:val="nil"/>
                    <w:tr2bl w:val="nil"/>
                  </w:tcBorders>
                  <w:vAlign w:val="center"/>
                </w:tcPr>
                <w:p>
                  <w:pPr>
                    <w:pStyle w:val="18"/>
                    <w:rPr>
                      <w:rFonts w:ascii="Times New Roman" w:hAnsi="Times New Roman"/>
                      <w:color w:val="auto"/>
                      <w:sz w:val="21"/>
                    </w:rPr>
                  </w:pPr>
                  <w:r>
                    <w:rPr>
                      <w:rFonts w:ascii="Times New Roman" w:hAnsi="Times New Roman"/>
                      <w:color w:val="auto"/>
                      <w:sz w:val="21"/>
                    </w:rPr>
                    <w:t>排放废气含有毒有害污染物、二噁英、苯并〔a〕芘、氰化物、氯气且厂界外500米范围内有环境空气保护目标的建设项目</w:t>
                  </w:r>
                </w:p>
              </w:tc>
              <w:tc>
                <w:tcPr>
                  <w:tcW w:w="1807"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本项目</w:t>
                  </w:r>
                  <w:r>
                    <w:rPr>
                      <w:rFonts w:hint="eastAsia" w:ascii="Times New Roman" w:hAnsi="Times New Roman"/>
                      <w:color w:val="auto"/>
                      <w:sz w:val="21"/>
                    </w:rPr>
                    <w:t>废气污染物中含有苯并[a]芘</w:t>
                  </w:r>
                  <w:r>
                    <w:rPr>
                      <w:rFonts w:hint="eastAsia" w:ascii="Times New Roman" w:hAnsi="Times New Roman"/>
                      <w:color w:val="auto"/>
                      <w:sz w:val="21"/>
                      <w:lang w:eastAsia="zh-CN"/>
                    </w:rPr>
                    <w:t>，</w:t>
                  </w:r>
                  <w:r>
                    <w:rPr>
                      <w:rFonts w:hint="eastAsia" w:ascii="Times New Roman" w:hAnsi="Times New Roman"/>
                      <w:color w:val="auto"/>
                      <w:sz w:val="21"/>
                    </w:rPr>
                    <w:t>且厂界外500米范围内</w:t>
                  </w:r>
                  <w:r>
                    <w:rPr>
                      <w:rFonts w:hint="eastAsia" w:ascii="Times New Roman" w:hAnsi="Times New Roman"/>
                      <w:color w:val="auto"/>
                      <w:sz w:val="21"/>
                      <w:lang w:val="en-US" w:eastAsia="zh-CN"/>
                    </w:rPr>
                    <w:t>无</w:t>
                  </w:r>
                  <w:r>
                    <w:rPr>
                      <w:rFonts w:hint="eastAsia" w:ascii="Times New Roman" w:hAnsi="Times New Roman"/>
                      <w:color w:val="auto"/>
                      <w:sz w:val="21"/>
                    </w:rPr>
                    <w:t>环境空气保护目标</w:t>
                  </w:r>
                </w:p>
              </w:tc>
              <w:tc>
                <w:tcPr>
                  <w:tcW w:w="1081" w:type="dxa"/>
                  <w:tcBorders>
                    <w:tl2br w:val="nil"/>
                    <w:tr2bl w:val="nil"/>
                  </w:tcBorders>
                  <w:vAlign w:val="center"/>
                </w:tcPr>
                <w:p>
                  <w:pPr>
                    <w:pStyle w:val="18"/>
                    <w:jc w:val="center"/>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53"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地表水专项</w:t>
                  </w:r>
                </w:p>
              </w:tc>
              <w:tc>
                <w:tcPr>
                  <w:tcW w:w="3595" w:type="dxa"/>
                  <w:tcBorders>
                    <w:tl2br w:val="nil"/>
                    <w:tr2bl w:val="nil"/>
                  </w:tcBorders>
                  <w:vAlign w:val="center"/>
                </w:tcPr>
                <w:p>
                  <w:pPr>
                    <w:pStyle w:val="18"/>
                    <w:rPr>
                      <w:rFonts w:ascii="Times New Roman" w:hAnsi="Times New Roman"/>
                      <w:color w:val="auto"/>
                      <w:sz w:val="21"/>
                    </w:rPr>
                  </w:pPr>
                  <w:r>
                    <w:rPr>
                      <w:rFonts w:ascii="Times New Roman" w:hAnsi="Times New Roman"/>
                      <w:color w:val="auto"/>
                      <w:sz w:val="21"/>
                    </w:rPr>
                    <w:t>新增工业废水直排建设项目（槽罐车外送污水处理厂的除外）</w:t>
                  </w:r>
                </w:p>
              </w:tc>
              <w:tc>
                <w:tcPr>
                  <w:tcW w:w="1807"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本项目不涉及</w:t>
                  </w:r>
                </w:p>
              </w:tc>
              <w:tc>
                <w:tcPr>
                  <w:tcW w:w="1081"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53"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生态专项</w:t>
                  </w:r>
                </w:p>
              </w:tc>
              <w:tc>
                <w:tcPr>
                  <w:tcW w:w="3595" w:type="dxa"/>
                  <w:tcBorders>
                    <w:tl2br w:val="nil"/>
                    <w:tr2bl w:val="nil"/>
                  </w:tcBorders>
                  <w:vAlign w:val="center"/>
                </w:tcPr>
                <w:p>
                  <w:pPr>
                    <w:pStyle w:val="18"/>
                    <w:rPr>
                      <w:rFonts w:ascii="Times New Roman" w:hAnsi="Times New Roman"/>
                      <w:color w:val="auto"/>
                      <w:sz w:val="21"/>
                    </w:rPr>
                  </w:pPr>
                  <w:r>
                    <w:rPr>
                      <w:rFonts w:ascii="Times New Roman" w:hAnsi="Times New Roman"/>
                      <w:color w:val="auto"/>
                      <w:sz w:val="21"/>
                    </w:rPr>
                    <w:t>取水口下游500米范围内有重要水生生物的自然产卵场、索饵场、越冬场和洄游通道的新增河道取水的污染类建设项目</w:t>
                  </w:r>
                </w:p>
              </w:tc>
              <w:tc>
                <w:tcPr>
                  <w:tcW w:w="1807"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本项目不涉及</w:t>
                  </w:r>
                </w:p>
              </w:tc>
              <w:tc>
                <w:tcPr>
                  <w:tcW w:w="1081"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53"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海洋专项</w:t>
                  </w:r>
                </w:p>
              </w:tc>
              <w:tc>
                <w:tcPr>
                  <w:tcW w:w="3595" w:type="dxa"/>
                  <w:tcBorders>
                    <w:tl2br w:val="nil"/>
                    <w:tr2bl w:val="nil"/>
                  </w:tcBorders>
                  <w:vAlign w:val="center"/>
                </w:tcPr>
                <w:p>
                  <w:pPr>
                    <w:pStyle w:val="18"/>
                    <w:rPr>
                      <w:rFonts w:ascii="Times New Roman" w:hAnsi="Times New Roman"/>
                      <w:color w:val="auto"/>
                      <w:sz w:val="21"/>
                    </w:rPr>
                  </w:pPr>
                  <w:r>
                    <w:rPr>
                      <w:rFonts w:ascii="Times New Roman" w:hAnsi="Times New Roman"/>
                      <w:color w:val="auto"/>
                      <w:sz w:val="21"/>
                    </w:rPr>
                    <w:t>直接向海排放污染物的海洋工程建设项目</w:t>
                  </w:r>
                </w:p>
              </w:tc>
              <w:tc>
                <w:tcPr>
                  <w:tcW w:w="1807"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本项目不涉及</w:t>
                  </w:r>
                </w:p>
              </w:tc>
              <w:tc>
                <w:tcPr>
                  <w:tcW w:w="1081"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53"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环境风险专项</w:t>
                  </w:r>
                </w:p>
              </w:tc>
              <w:tc>
                <w:tcPr>
                  <w:tcW w:w="3595" w:type="dxa"/>
                  <w:tcBorders>
                    <w:tl2br w:val="nil"/>
                    <w:tr2bl w:val="nil"/>
                  </w:tcBorders>
                  <w:vAlign w:val="center"/>
                </w:tcPr>
                <w:p>
                  <w:pPr>
                    <w:pStyle w:val="18"/>
                    <w:rPr>
                      <w:rFonts w:ascii="Times New Roman" w:hAnsi="Times New Roman"/>
                      <w:color w:val="auto"/>
                      <w:sz w:val="21"/>
                    </w:rPr>
                  </w:pPr>
                  <w:r>
                    <w:rPr>
                      <w:rFonts w:ascii="Times New Roman" w:hAnsi="Times New Roman"/>
                      <w:color w:val="auto"/>
                      <w:sz w:val="21"/>
                    </w:rPr>
                    <w:t>有毒有害和易燃易爆危险物质储存量超过临界量的建设项目</w:t>
                  </w:r>
                </w:p>
              </w:tc>
              <w:tc>
                <w:tcPr>
                  <w:tcW w:w="1807" w:type="dxa"/>
                  <w:tcBorders>
                    <w:tl2br w:val="nil"/>
                    <w:tr2bl w:val="nil"/>
                  </w:tcBorders>
                  <w:vAlign w:val="center"/>
                </w:tcPr>
                <w:p>
                  <w:pPr>
                    <w:pStyle w:val="18"/>
                    <w:jc w:val="center"/>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本项目风险物质未超过临界量</w:t>
                  </w:r>
                </w:p>
              </w:tc>
              <w:tc>
                <w:tcPr>
                  <w:tcW w:w="1081" w:type="dxa"/>
                  <w:tcBorders>
                    <w:tl2br w:val="nil"/>
                    <w:tr2bl w:val="nil"/>
                  </w:tcBorders>
                  <w:vAlign w:val="center"/>
                </w:tcPr>
                <w:p>
                  <w:pPr>
                    <w:pStyle w:val="18"/>
                    <w:jc w:val="center"/>
                    <w:rPr>
                      <w:rFonts w:ascii="Times New Roman" w:hAnsi="Times New Roman"/>
                      <w:color w:val="auto"/>
                      <w:sz w:val="21"/>
                    </w:rPr>
                  </w:pPr>
                  <w:r>
                    <w:rPr>
                      <w:rFonts w:ascii="Times New Roman" w:hAnsi="Times New Roman"/>
                      <w:color w:val="auto"/>
                      <w:sz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7436" w:type="dxa"/>
                  <w:gridSpan w:val="4"/>
                  <w:tcBorders>
                    <w:tl2br w:val="nil"/>
                    <w:tr2bl w:val="nil"/>
                  </w:tcBorders>
                  <w:vAlign w:val="center"/>
                </w:tcPr>
                <w:p>
                  <w:pPr>
                    <w:autoSpaceDE w:val="0"/>
                    <w:autoSpaceDN w:val="0"/>
                    <w:adjustRightInd w:val="0"/>
                    <w:snapToGrid w:val="0"/>
                    <w:rPr>
                      <w:color w:val="auto"/>
                      <w:sz w:val="21"/>
                      <w:szCs w:val="21"/>
                    </w:rPr>
                  </w:pPr>
                  <w:r>
                    <w:rPr>
                      <w:color w:val="auto"/>
                      <w:sz w:val="21"/>
                      <w:szCs w:val="21"/>
                    </w:rPr>
                    <w:t>注：①废气中有毒有害污染物指纳入《有毒有害大气污染物名录》的污染物（不包括无排放标准的污染物）。</w:t>
                  </w:r>
                </w:p>
                <w:p>
                  <w:pPr>
                    <w:autoSpaceDE w:val="0"/>
                    <w:autoSpaceDN w:val="0"/>
                    <w:adjustRightInd w:val="0"/>
                    <w:snapToGrid w:val="0"/>
                    <w:ind w:firstLine="420" w:firstLineChars="200"/>
                    <w:rPr>
                      <w:color w:val="auto"/>
                      <w:sz w:val="21"/>
                      <w:szCs w:val="21"/>
                    </w:rPr>
                  </w:pPr>
                  <w:r>
                    <w:rPr>
                      <w:color w:val="auto"/>
                      <w:sz w:val="21"/>
                      <w:szCs w:val="21"/>
                    </w:rPr>
                    <w:t>②环境空气保护目标指自然保护区、风景名胜区、居住区、文化区和农村地区中人群较集中的区域。</w:t>
                  </w:r>
                </w:p>
                <w:p>
                  <w:pPr>
                    <w:pStyle w:val="18"/>
                    <w:ind w:firstLine="420" w:firstLineChars="200"/>
                    <w:rPr>
                      <w:rFonts w:ascii="Times New Roman" w:hAnsi="Times New Roman"/>
                      <w:color w:val="auto"/>
                      <w:sz w:val="21"/>
                    </w:rPr>
                  </w:pPr>
                  <w:r>
                    <w:rPr>
                      <w:rFonts w:ascii="Times New Roman" w:hAnsi="Times New Roman"/>
                      <w:color w:val="auto"/>
                      <w:sz w:val="21"/>
                    </w:rPr>
                    <w:t>③临界量及其计算方法参考《建设项目环境风险评价技术导则》（HJ 169）附录B、附录C。</w:t>
                  </w:r>
                </w:p>
              </w:tc>
            </w:tr>
          </w:tbl>
          <w:p>
            <w:pPr>
              <w:spacing w:line="360" w:lineRule="auto"/>
              <w:ind w:firstLine="480" w:firstLineChars="200"/>
              <w:jc w:val="left"/>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规划情况</w:t>
            </w:r>
          </w:p>
        </w:tc>
        <w:tc>
          <w:tcPr>
            <w:tcW w:w="7597" w:type="dxa"/>
            <w:gridSpan w:val="3"/>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leftChars="0" w:right="0" w:rightChars="0"/>
              <w:jc w:val="center"/>
              <w:rPr>
                <w:rFonts w:hint="eastAsia" w:eastAsia="宋体"/>
                <w:color w:val="auto"/>
                <w:lang w:val="en-US" w:eastAsia="zh-CN"/>
              </w:rPr>
            </w:pPr>
            <w:r>
              <w:rPr>
                <w:rFonts w:hint="eastAsia" w:cs="Times New Roman"/>
                <w:color w:val="auto"/>
                <w:kern w:val="0"/>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规划环境影响评价情况</w:t>
            </w:r>
          </w:p>
        </w:tc>
        <w:tc>
          <w:tcPr>
            <w:tcW w:w="7597" w:type="dxa"/>
            <w:gridSpan w:val="3"/>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lang w:val="en-US" w:eastAsia="zh-CN"/>
              </w:rPr>
            </w:pPr>
            <w:r>
              <w:rPr>
                <w:rFonts w:hint="eastAsia" w:cs="Times New Roman"/>
                <w:color w:val="auto"/>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规划及规划环境影响评价符合性分析</w:t>
            </w:r>
          </w:p>
        </w:tc>
        <w:tc>
          <w:tcPr>
            <w:tcW w:w="7597" w:type="dxa"/>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color w:val="auto"/>
              </w:rPr>
            </w:pPr>
            <w:r>
              <w:rPr>
                <w:rFonts w:hint="eastAsia" w:cs="Times New Roman"/>
                <w:b w:val="0"/>
                <w:color w:val="auto"/>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trPr>
        <w:tc>
          <w:tcPr>
            <w:tcW w:w="802" w:type="dxa"/>
            <w:tcBorders>
              <w:tl2br w:val="nil"/>
              <w:tr2bl w:val="nil"/>
            </w:tcBorders>
            <w:vAlign w:val="center"/>
          </w:tcPr>
          <w:p>
            <w:pPr>
              <w:jc w:val="center"/>
              <w:rPr>
                <w:color w:val="auto"/>
              </w:rPr>
            </w:pPr>
            <w:r>
              <w:rPr>
                <w:color w:val="auto"/>
              </w:rPr>
              <w:t>其他符合性分析</w:t>
            </w:r>
          </w:p>
        </w:tc>
        <w:tc>
          <w:tcPr>
            <w:tcW w:w="7597" w:type="dxa"/>
            <w:gridSpan w:val="3"/>
            <w:tcBorders>
              <w:tl2br w:val="nil"/>
              <w:tr2bl w:val="nil"/>
            </w:tcBorders>
            <w:vAlign w:val="center"/>
          </w:tcPr>
          <w:p>
            <w:pPr>
              <w:pStyle w:val="51"/>
              <w:numPr>
                <w:ilvl w:val="0"/>
                <w:numId w:val="4"/>
              </w:numPr>
              <w:ind w:firstLine="482"/>
              <w:rPr>
                <w:b/>
                <w:bCs/>
                <w:color w:val="auto"/>
              </w:rPr>
            </w:pPr>
            <w:r>
              <w:rPr>
                <w:b/>
                <w:bCs/>
                <w:color w:val="auto"/>
              </w:rPr>
              <w:t>产业政策符合性</w:t>
            </w:r>
          </w:p>
          <w:p>
            <w:pPr>
              <w:autoSpaceDE w:val="0"/>
              <w:autoSpaceDN w:val="0"/>
              <w:adjustRightInd w:val="0"/>
              <w:snapToGrid w:val="0"/>
              <w:spacing w:line="360" w:lineRule="auto"/>
              <w:ind w:firstLine="480" w:firstLineChars="200"/>
              <w:rPr>
                <w:color w:val="auto"/>
              </w:rPr>
            </w:pPr>
            <w:r>
              <w:rPr>
                <w:color w:val="auto"/>
              </w:rPr>
              <w:t>根据《产业结构调整指导目录</w:t>
            </w:r>
            <w:r>
              <w:rPr>
                <w:bCs/>
                <w:color w:val="auto"/>
              </w:rPr>
              <w:t>（2024年本）</w:t>
            </w:r>
            <w:r>
              <w:rPr>
                <w:color w:val="auto"/>
              </w:rPr>
              <w:t>》，</w:t>
            </w:r>
            <w:r>
              <w:rPr>
                <w:rFonts w:hint="eastAsia"/>
                <w:color w:val="auto"/>
              </w:rPr>
              <w:t>本项目为沥青混凝土生产项目，所属行业的行业类别为《国民经济行业类别》（GB/T4754-2017）中的其他非金属矿物制品业，行业代码为C3099，不属于</w:t>
            </w:r>
            <w:r>
              <w:rPr>
                <w:rFonts w:hint="eastAsia"/>
                <w:color w:val="auto"/>
                <w:lang w:eastAsia="zh-CN"/>
              </w:rPr>
              <w:t>《产业结构调整指导目录（2024年本）》</w:t>
            </w:r>
            <w:r>
              <w:rPr>
                <w:rFonts w:hint="eastAsia"/>
                <w:color w:val="auto"/>
              </w:rPr>
              <w:t>中的限制、淘汰类别，且符合国家有关法律、法规和政策规定的项目，属于允许类别，符合国家产业政策。</w:t>
            </w:r>
          </w:p>
          <w:p>
            <w:pPr>
              <w:pStyle w:val="51"/>
              <w:numPr>
                <w:ilvl w:val="0"/>
                <w:numId w:val="4"/>
              </w:numPr>
              <w:ind w:firstLine="482"/>
              <w:rPr>
                <w:b/>
                <w:bCs/>
                <w:color w:val="auto"/>
              </w:rPr>
            </w:pPr>
            <w:r>
              <w:rPr>
                <w:b/>
                <w:bCs/>
                <w:color w:val="auto"/>
              </w:rPr>
              <w:t>选址合理性分析</w:t>
            </w:r>
          </w:p>
          <w:p>
            <w:pPr>
              <w:autoSpaceDE w:val="0"/>
              <w:autoSpaceDN w:val="0"/>
              <w:adjustRightInd w:val="0"/>
              <w:snapToGrid w:val="0"/>
              <w:spacing w:line="360" w:lineRule="auto"/>
              <w:ind w:firstLine="480" w:firstLineChars="200"/>
              <w:rPr>
                <w:color w:val="auto"/>
              </w:rPr>
            </w:pPr>
            <w:r>
              <w:rPr>
                <w:color w:val="auto"/>
              </w:rPr>
              <w:t>本项目</w:t>
            </w:r>
            <w:r>
              <w:rPr>
                <w:rFonts w:hint="eastAsia"/>
                <w:color w:val="auto"/>
              </w:rPr>
              <w:t>位于黑龙江省</w:t>
            </w:r>
            <w:r>
              <w:rPr>
                <w:rFonts w:hint="eastAsia"/>
                <w:color w:val="auto"/>
                <w:lang w:val="en-US" w:eastAsia="zh-CN"/>
              </w:rPr>
              <w:t>伊春</w:t>
            </w:r>
            <w:r>
              <w:rPr>
                <w:rFonts w:hint="eastAsia"/>
                <w:color w:val="auto"/>
              </w:rPr>
              <w:t>市</w:t>
            </w:r>
            <w:r>
              <w:rPr>
                <w:rFonts w:hint="eastAsia"/>
                <w:color w:val="auto"/>
                <w:lang w:val="en-US" w:eastAsia="zh-CN"/>
              </w:rPr>
              <w:t>嘉荫县跃进村</w:t>
            </w:r>
            <w:r>
              <w:rPr>
                <w:rFonts w:hint="eastAsia"/>
                <w:color w:val="auto"/>
              </w:rPr>
              <w:t>，占地性质为</w:t>
            </w:r>
            <w:r>
              <w:rPr>
                <w:rFonts w:hint="eastAsia"/>
                <w:color w:val="auto"/>
                <w:lang w:val="en-US" w:eastAsia="zh-CN"/>
              </w:rPr>
              <w:t>建设</w:t>
            </w:r>
            <w:r>
              <w:rPr>
                <w:rFonts w:hint="eastAsia"/>
                <w:color w:val="auto"/>
              </w:rPr>
              <w:t>用地。本项目北侧为</w:t>
            </w:r>
            <w:r>
              <w:rPr>
                <w:rFonts w:hint="eastAsia"/>
                <w:color w:val="auto"/>
                <w:lang w:val="en-US" w:eastAsia="zh-CN"/>
              </w:rPr>
              <w:t>耕地</w:t>
            </w:r>
            <w:r>
              <w:rPr>
                <w:rFonts w:hint="eastAsia"/>
                <w:color w:val="auto"/>
              </w:rPr>
              <w:t>，南侧为</w:t>
            </w:r>
            <w:r>
              <w:rPr>
                <w:rFonts w:hint="eastAsia"/>
                <w:color w:val="auto"/>
                <w:lang w:val="en-US" w:eastAsia="zh-CN"/>
              </w:rPr>
              <w:t>乡道</w:t>
            </w:r>
            <w:r>
              <w:rPr>
                <w:rFonts w:hint="eastAsia"/>
                <w:color w:val="auto"/>
              </w:rPr>
              <w:t>，西侧为</w:t>
            </w:r>
            <w:r>
              <w:rPr>
                <w:rFonts w:hint="eastAsia"/>
                <w:color w:val="auto"/>
                <w:lang w:val="en-US" w:eastAsia="zh-CN"/>
              </w:rPr>
              <w:t>G331公路</w:t>
            </w:r>
            <w:r>
              <w:rPr>
                <w:rFonts w:hint="eastAsia"/>
                <w:color w:val="auto"/>
              </w:rPr>
              <w:t>，东侧为</w:t>
            </w:r>
            <w:r>
              <w:rPr>
                <w:rFonts w:hint="eastAsia"/>
                <w:color w:val="auto"/>
                <w:lang w:val="en-US" w:eastAsia="zh-CN"/>
              </w:rPr>
              <w:t>空地</w:t>
            </w:r>
            <w:r>
              <w:rPr>
                <w:rFonts w:hint="eastAsia"/>
                <w:color w:val="auto"/>
              </w:rPr>
              <w:t>。</w:t>
            </w:r>
            <w:r>
              <w:rPr>
                <w:color w:val="auto"/>
              </w:rPr>
              <w:t>区域主导风向为</w:t>
            </w:r>
            <w:r>
              <w:rPr>
                <w:rFonts w:hint="eastAsia"/>
                <w:color w:val="auto"/>
              </w:rPr>
              <w:t>西</w:t>
            </w:r>
            <w:r>
              <w:rPr>
                <w:color w:val="auto"/>
              </w:rPr>
              <w:t>风，厂区</w:t>
            </w:r>
            <w:r>
              <w:rPr>
                <w:rFonts w:hint="eastAsia"/>
                <w:color w:val="auto"/>
              </w:rPr>
              <w:t>周边50m内无声环境敏感点，</w:t>
            </w:r>
            <w:r>
              <w:rPr>
                <w:rFonts w:hint="eastAsia"/>
                <w:color w:val="auto"/>
                <w:lang w:val="en-US" w:eastAsia="zh-CN"/>
              </w:rPr>
              <w:t>500m范围内无大气环境保护目标</w:t>
            </w:r>
            <w:r>
              <w:rPr>
                <w:rFonts w:hint="eastAsia"/>
                <w:color w:val="auto"/>
              </w:rPr>
              <w:t>，</w:t>
            </w:r>
            <w:r>
              <w:rPr>
                <w:rFonts w:hint="eastAsia"/>
                <w:color w:val="auto"/>
                <w:lang w:val="en-US" w:eastAsia="zh-CN"/>
              </w:rPr>
              <w:t>通过采取本项目提出的措施</w:t>
            </w:r>
            <w:r>
              <w:rPr>
                <w:rFonts w:hint="eastAsia"/>
                <w:color w:val="auto"/>
              </w:rPr>
              <w:t>，</w:t>
            </w:r>
            <w:r>
              <w:rPr>
                <w:rFonts w:hint="eastAsia"/>
                <w:color w:val="auto"/>
                <w:lang w:val="en-US" w:eastAsia="zh-CN"/>
              </w:rPr>
              <w:t>对周边环境</w:t>
            </w:r>
            <w:r>
              <w:rPr>
                <w:rFonts w:hint="eastAsia"/>
                <w:color w:val="auto"/>
              </w:rPr>
              <w:t>影响较小。项目厂区周围无风景名胜区、文物保护单位、生态敏感区等限制项目实施的因素。厂址比较平坦，地理位置优越，交通便利。项目的各项污染物经过有效的污染治理措施后对环境影响较小，从环保的角度分析本项目的选址</w:t>
            </w:r>
            <w:r>
              <w:rPr>
                <w:rFonts w:hint="eastAsia"/>
                <w:color w:val="auto"/>
                <w:lang w:eastAsia="zh-CN"/>
              </w:rPr>
              <w:t>是</w:t>
            </w:r>
            <w:r>
              <w:rPr>
                <w:rFonts w:hint="eastAsia"/>
                <w:color w:val="auto"/>
              </w:rPr>
              <w:t>合理的。</w:t>
            </w:r>
          </w:p>
          <w:p>
            <w:pPr>
              <w:pStyle w:val="51"/>
              <w:numPr>
                <w:ilvl w:val="0"/>
                <w:numId w:val="4"/>
              </w:numPr>
              <w:ind w:firstLine="482"/>
              <w:rPr>
                <w:b/>
                <w:bCs/>
                <w:color w:val="auto"/>
              </w:rPr>
            </w:pPr>
            <w:r>
              <w:rPr>
                <w:rFonts w:hint="eastAsia"/>
                <w:b/>
                <w:bCs/>
                <w:color w:val="auto"/>
              </w:rPr>
              <w:t>黑龙江省生态环境分区管控</w:t>
            </w:r>
            <w:r>
              <w:rPr>
                <w:b/>
                <w:bCs/>
                <w:color w:val="auto"/>
              </w:rPr>
              <w:t>符合性分析</w:t>
            </w:r>
          </w:p>
          <w:p>
            <w:pPr>
              <w:numPr>
                <w:ilvl w:val="0"/>
                <w:numId w:val="5"/>
              </w:numPr>
              <w:autoSpaceDE w:val="0"/>
              <w:autoSpaceDN w:val="0"/>
              <w:adjustRightInd w:val="0"/>
              <w:snapToGrid w:val="0"/>
              <w:spacing w:line="360" w:lineRule="auto"/>
              <w:ind w:firstLine="480" w:firstLineChars="200"/>
              <w:rPr>
                <w:color w:val="auto"/>
                <w:kern w:val="0"/>
              </w:rPr>
            </w:pPr>
            <w:r>
              <w:rPr>
                <w:color w:val="auto"/>
                <w:kern w:val="0"/>
              </w:rPr>
              <w:t>生态保护红线</w:t>
            </w:r>
          </w:p>
          <w:p>
            <w:pPr>
              <w:autoSpaceDE w:val="0"/>
              <w:autoSpaceDN w:val="0"/>
              <w:adjustRightInd w:val="0"/>
              <w:snapToGrid w:val="0"/>
              <w:spacing w:line="360" w:lineRule="auto"/>
              <w:ind w:firstLine="480" w:firstLineChars="200"/>
              <w:rPr>
                <w:color w:val="auto"/>
                <w:kern w:val="0"/>
              </w:rPr>
            </w:pPr>
            <w:r>
              <w:rPr>
                <w:color w:val="auto"/>
                <w:kern w:val="0"/>
              </w:rPr>
              <w:t>根据</w:t>
            </w:r>
            <w:r>
              <w:rPr>
                <w:rFonts w:hint="eastAsia"/>
                <w:color w:val="auto"/>
                <w:kern w:val="0"/>
              </w:rPr>
              <w:t>黑龙江省生态环境分区管控数据应用平台出具的“生态环境分区管控分析报告”可知，本项目不在各类保护地中，不占用生态保护红线。符合生态保护红线要求。</w:t>
            </w:r>
          </w:p>
          <w:p>
            <w:pPr>
              <w:autoSpaceDE w:val="0"/>
              <w:autoSpaceDN w:val="0"/>
              <w:adjustRightInd w:val="0"/>
              <w:snapToGrid w:val="0"/>
              <w:spacing w:line="360" w:lineRule="auto"/>
              <w:jc w:val="center"/>
              <w:rPr>
                <w:color w:val="auto"/>
                <w:kern w:val="0"/>
              </w:rPr>
            </w:pPr>
            <w:r>
              <w:rPr>
                <w:color w:val="auto"/>
              </w:rPr>
              <mc:AlternateContent>
                <mc:Choice Requires="wps">
                  <w:drawing>
                    <wp:anchor distT="0" distB="0" distL="114300" distR="114300" simplePos="0" relativeHeight="251666432" behindDoc="0" locked="0" layoutInCell="1" allowOverlap="1">
                      <wp:simplePos x="0" y="0"/>
                      <wp:positionH relativeFrom="column">
                        <wp:posOffset>3431540</wp:posOffset>
                      </wp:positionH>
                      <wp:positionV relativeFrom="paragraph">
                        <wp:posOffset>179070</wp:posOffset>
                      </wp:positionV>
                      <wp:extent cx="969010" cy="285750"/>
                      <wp:effectExtent l="0" t="0" r="0" b="0"/>
                      <wp:wrapNone/>
                      <wp:docPr id="88" name="文本框 88"/>
                      <wp:cNvGraphicFramePr/>
                      <a:graphic xmlns:a="http://schemas.openxmlformats.org/drawingml/2006/main">
                        <a:graphicData uri="http://schemas.microsoft.com/office/word/2010/wordprocessingShape">
                          <wps:wsp>
                            <wps:cNvSpPr txBox="1"/>
                            <wps:spPr>
                              <a:xfrm>
                                <a:off x="3984625" y="3126740"/>
                                <a:ext cx="96901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2pt;margin-top:14.1pt;height:22.5pt;width:76.3pt;z-index:251666432;mso-width-relative:page;mso-height-relative:page;" filled="f" stroked="f" coordsize="21600,21600" o:gfxdata="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YieetsAAAAJAQAADwAAAAAAAAABACAAAAAiAAAAZHJzL2Rvd25yZXYueG1sUEsB&#10;AhQAFAAAAAgAh07iQNVXfQUrAgAAJQQAAA4AAAAAAAAAAQAgAAAAKgEAAGRycy9lMm9Eb2MueG1s&#10;UEsFBgAAAAAGAAYAWQEAAMcFAAAAAA==&#10;">
                      <v:fill on="f" focussize="0,0"/>
                      <v:stroke on="f" weight="0.5pt"/>
                      <v:imagedata o:title=""/>
                      <o:lock v:ext="edit" aspectratio="f"/>
                      <v:textbox>
                        <w:txbxContent>
                          <w:p>
                            <w:pPr>
                              <w:rPr>
                                <w:color w:val="FF0000"/>
                              </w:rPr>
                            </w:pPr>
                            <w:r>
                              <w:rPr>
                                <w:rFonts w:hint="eastAsia"/>
                                <w:color w:val="FF0000"/>
                              </w:rPr>
                              <w:t>本项目位置</w:t>
                            </w:r>
                          </w:p>
                        </w:txbxContent>
                      </v:textbox>
                    </v:shap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2773045</wp:posOffset>
                      </wp:positionH>
                      <wp:positionV relativeFrom="paragraph">
                        <wp:posOffset>495935</wp:posOffset>
                      </wp:positionV>
                      <wp:extent cx="631825" cy="233680"/>
                      <wp:effectExtent l="0" t="12065" r="15875" b="20955"/>
                      <wp:wrapNone/>
                      <wp:docPr id="87" name="直接箭头连接符 87"/>
                      <wp:cNvGraphicFramePr/>
                      <a:graphic xmlns:a="http://schemas.openxmlformats.org/drawingml/2006/main">
                        <a:graphicData uri="http://schemas.microsoft.com/office/word/2010/wordprocessingShape">
                          <wps:wsp>
                            <wps:cNvCnPr/>
                            <wps:spPr>
                              <a:xfrm flipH="1">
                                <a:off x="3257550" y="3334385"/>
                                <a:ext cx="631825" cy="23368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8.35pt;margin-top:39.05pt;height:18.4pt;width:49.75pt;z-index:251665408;mso-width-relative:page;mso-height-relative:page;" filled="f" stroked="t" coordsize="21600,21600" o:gfxdata="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dcE2raAAAACgEAAA8AAAAAAAAAAQAgAAAAIgAAAGRycy9kb3ducmV2&#10;LnhtbFBLAQIUABQAAAAIAIdO4kBTKQlj+gEAAJYDAAAOAAAAAAAAAAEAIAAAACkBAABkcnMvZTJv&#10;RG9jLnhtbFBLBQYAAAAABgAGAFkBAACVBQAAAAA=&#10;">
                      <v:fill on="f" focussize="0,0"/>
                      <v:stroke weight="2pt" color="#FF0000 [3204]" joinstyle="round" endarrow="open"/>
                      <v:imagedata o:title=""/>
                      <o:lock v:ext="edit" aspectratio="f"/>
                    </v:shape>
                  </w:pict>
                </mc:Fallback>
              </mc:AlternateContent>
            </w:r>
            <w:r>
              <w:rPr>
                <w:color w:val="auto"/>
              </w:rPr>
              <w:drawing>
                <wp:anchor distT="0" distB="0" distL="114300" distR="114300" simplePos="0" relativeHeight="251662336" behindDoc="0" locked="0" layoutInCell="1" allowOverlap="1">
                  <wp:simplePos x="0" y="0"/>
                  <wp:positionH relativeFrom="column">
                    <wp:posOffset>3398520</wp:posOffset>
                  </wp:positionH>
                  <wp:positionV relativeFrom="paragraph">
                    <wp:posOffset>1861820</wp:posOffset>
                  </wp:positionV>
                  <wp:extent cx="990600" cy="531495"/>
                  <wp:effectExtent l="0" t="0" r="0" b="1905"/>
                  <wp:wrapNone/>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2"/>
                          <a:stretch>
                            <a:fillRect/>
                          </a:stretch>
                        </pic:blipFill>
                        <pic:spPr>
                          <a:xfrm>
                            <a:off x="0" y="0"/>
                            <a:ext cx="990600" cy="531495"/>
                          </a:xfrm>
                          <a:prstGeom prst="rect">
                            <a:avLst/>
                          </a:prstGeom>
                          <a:noFill/>
                          <a:ln>
                            <a:noFill/>
                          </a:ln>
                        </pic:spPr>
                      </pic:pic>
                    </a:graphicData>
                  </a:graphic>
                </wp:anchor>
              </w:drawing>
            </w:r>
            <w:r>
              <w:rPr>
                <w:color w:val="auto"/>
              </w:rPr>
              <w:drawing>
                <wp:inline distT="0" distB="0" distL="114300" distR="114300">
                  <wp:extent cx="4968875" cy="2385695"/>
                  <wp:effectExtent l="0" t="0" r="3175" b="1460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3"/>
                          <a:stretch>
                            <a:fillRect/>
                          </a:stretch>
                        </pic:blipFill>
                        <pic:spPr>
                          <a:xfrm>
                            <a:off x="0" y="0"/>
                            <a:ext cx="4968875" cy="2385695"/>
                          </a:xfrm>
                          <a:prstGeom prst="rect">
                            <a:avLst/>
                          </a:prstGeom>
                          <a:noFill/>
                          <a:ln>
                            <a:noFill/>
                          </a:ln>
                        </pic:spPr>
                      </pic:pic>
                    </a:graphicData>
                  </a:graphic>
                </wp:inline>
              </w:drawing>
            </w:r>
          </w:p>
          <w:p>
            <w:pPr>
              <w:pStyle w:val="9"/>
              <w:rPr>
                <w:color w:val="auto"/>
              </w:rPr>
            </w:pPr>
            <w:r>
              <w:rPr>
                <w:rFonts w:hint="eastAsia"/>
                <w:color w:val="auto"/>
              </w:rPr>
              <w:t>图</w:t>
            </w:r>
            <w:r>
              <w:rPr>
                <w:color w:val="auto"/>
              </w:rPr>
              <w:t>1-</w:t>
            </w:r>
            <w:r>
              <w:rPr>
                <w:rFonts w:hint="eastAsia"/>
                <w:color w:val="auto"/>
              </w:rPr>
              <w:t>1</w:t>
            </w:r>
            <w:r>
              <w:rPr>
                <w:color w:val="auto"/>
              </w:rPr>
              <w:t xml:space="preserve"> </w:t>
            </w:r>
            <w:r>
              <w:rPr>
                <w:rFonts w:hint="eastAsia"/>
                <w:color w:val="auto"/>
              </w:rPr>
              <w:t xml:space="preserve"> 本项目与生态保护红线位置关系图</w:t>
            </w:r>
          </w:p>
          <w:p>
            <w:pPr>
              <w:numPr>
                <w:ilvl w:val="0"/>
                <w:numId w:val="5"/>
              </w:numPr>
              <w:autoSpaceDE w:val="0"/>
              <w:autoSpaceDN w:val="0"/>
              <w:adjustRightInd w:val="0"/>
              <w:snapToGrid w:val="0"/>
              <w:spacing w:line="360" w:lineRule="auto"/>
              <w:ind w:firstLine="480" w:firstLineChars="200"/>
              <w:rPr>
                <w:color w:val="auto"/>
                <w:kern w:val="0"/>
              </w:rPr>
            </w:pPr>
            <w:r>
              <w:rPr>
                <w:color w:val="auto"/>
                <w:kern w:val="0"/>
              </w:rPr>
              <w:t>环境质量底线</w:t>
            </w:r>
          </w:p>
          <w:p>
            <w:pPr>
              <w:autoSpaceDE w:val="0"/>
              <w:autoSpaceDN w:val="0"/>
              <w:adjustRightInd w:val="0"/>
              <w:snapToGrid w:val="0"/>
              <w:spacing w:line="360" w:lineRule="auto"/>
              <w:ind w:firstLine="480" w:firstLineChars="200"/>
              <w:rPr>
                <w:color w:val="auto"/>
                <w:kern w:val="0"/>
              </w:rPr>
            </w:pPr>
            <w:r>
              <w:rPr>
                <w:rFonts w:hint="eastAsia"/>
                <w:color w:val="auto"/>
                <w:kern w:val="0"/>
              </w:rPr>
              <w:t>本项目运行期间产生废气主要为原料运输</w:t>
            </w:r>
            <w:r>
              <w:rPr>
                <w:rFonts w:hint="eastAsia"/>
                <w:color w:val="auto"/>
              </w:rPr>
              <w:t>及沥青料仓装卸粉尘、原料、产品堆场粉尘、冷料上料输送废气、骨料加热烘干废气、导热油炉烟气、沥青烟搅拌废气。原料运输及沥青料仓装卸粉尘采用汽车运输，运输车辆全部采用苫布覆盖；料粉由厂家直接运送至厂区料粉罐内，原料采用封闭式罐车运入厂区，原料采用汽车运输，运输车辆全部采用苫布覆盖。沥青料仓粉尘，堆场密闭，安装高压喷淋装置。冷料通过铲车、封闭皮带输送至封闭式沥青混凝土</w:t>
            </w:r>
            <w:r>
              <w:rPr>
                <w:rFonts w:hint="eastAsia"/>
                <w:color w:val="auto"/>
                <w:lang w:eastAsia="zh-CN"/>
              </w:rPr>
              <w:t>拌和</w:t>
            </w:r>
            <w:r>
              <w:rPr>
                <w:rFonts w:hint="eastAsia"/>
                <w:color w:val="auto"/>
              </w:rPr>
              <w:t>站。骨料烘干运行过程中处于密闭状态。骨料烘干废气、骨料燃烧器燃烧废气通过</w:t>
            </w:r>
            <w:r>
              <w:rPr>
                <w:rFonts w:hint="eastAsia"/>
                <w:color w:val="auto"/>
                <w:lang w:val="en-US" w:eastAsia="zh-CN"/>
              </w:rPr>
              <w:t>旋风+</w:t>
            </w:r>
            <w:r>
              <w:rPr>
                <w:rFonts w:hint="eastAsia"/>
                <w:color w:val="auto"/>
              </w:rPr>
              <w:t>布袋除尘器后排放；沥青搅拌废气通过活性炭吸附装置处理后排放；导热油炉经低氮燃烧措施处置后。料粉仓经布袋除尘+脉冲吹扫处理，</w:t>
            </w:r>
            <w:r>
              <w:rPr>
                <w:rFonts w:hint="eastAsia"/>
                <w:color w:val="auto"/>
                <w:kern w:val="0"/>
              </w:rPr>
              <w:t>本项目生活污水排入防渗旱厕，定期清掏，外运堆肥；喷淋用水全部自然蒸发。因此符合环境质量底线要求。</w:t>
            </w:r>
          </w:p>
          <w:p>
            <w:pPr>
              <w:numPr>
                <w:ilvl w:val="0"/>
                <w:numId w:val="5"/>
              </w:numPr>
              <w:autoSpaceDE w:val="0"/>
              <w:autoSpaceDN w:val="0"/>
              <w:adjustRightInd w:val="0"/>
              <w:snapToGrid w:val="0"/>
              <w:spacing w:line="360" w:lineRule="auto"/>
              <w:ind w:firstLine="480" w:firstLineChars="200"/>
              <w:rPr>
                <w:color w:val="auto"/>
                <w:kern w:val="0"/>
              </w:rPr>
            </w:pPr>
            <w:r>
              <w:rPr>
                <w:color w:val="auto"/>
                <w:kern w:val="0"/>
              </w:rPr>
              <w:t>资源利用上线</w:t>
            </w:r>
          </w:p>
          <w:p>
            <w:pPr>
              <w:autoSpaceDE w:val="0"/>
              <w:autoSpaceDN w:val="0"/>
              <w:adjustRightInd w:val="0"/>
              <w:snapToGrid w:val="0"/>
              <w:spacing w:line="360" w:lineRule="auto"/>
              <w:ind w:firstLine="480" w:firstLineChars="200"/>
              <w:rPr>
                <w:color w:val="auto"/>
                <w:kern w:val="0"/>
              </w:rPr>
            </w:pPr>
            <w:r>
              <w:rPr>
                <w:color w:val="auto"/>
                <w:kern w:val="0"/>
              </w:rPr>
              <w:t>本项目生活</w:t>
            </w:r>
            <w:r>
              <w:rPr>
                <w:rFonts w:hint="eastAsia"/>
                <w:color w:val="auto"/>
                <w:kern w:val="0"/>
                <w:lang w:val="en-US" w:eastAsia="zh-CN"/>
              </w:rPr>
              <w:t>用水采用桶装水</w:t>
            </w:r>
            <w:r>
              <w:rPr>
                <w:color w:val="auto"/>
                <w:kern w:val="0"/>
              </w:rPr>
              <w:t>、生产用水由</w:t>
            </w:r>
            <w:r>
              <w:rPr>
                <w:rFonts w:hint="eastAsia"/>
                <w:color w:val="auto"/>
                <w:kern w:val="0"/>
                <w:lang w:val="en-US" w:eastAsia="zh-CN"/>
              </w:rPr>
              <w:t>罐车拉运</w:t>
            </w:r>
            <w:r>
              <w:rPr>
                <w:color w:val="auto"/>
                <w:kern w:val="0"/>
              </w:rPr>
              <w:t>。本项目不属于高水耗，高能耗行业；本项目不占用基本农田和黑土地，结合用地现状，项目无需</w:t>
            </w:r>
            <w:r>
              <w:rPr>
                <w:rFonts w:hint="eastAsia"/>
                <w:color w:val="auto"/>
                <w:kern w:val="0"/>
                <w:lang w:val="en-US" w:eastAsia="zh-CN"/>
              </w:rPr>
              <w:t>生活</w:t>
            </w:r>
            <w:r>
              <w:rPr>
                <w:color w:val="auto"/>
                <w:kern w:val="0"/>
              </w:rPr>
              <w:t>供暖。</w:t>
            </w:r>
            <w:r>
              <w:rPr>
                <w:rFonts w:hint="eastAsia"/>
                <w:color w:val="auto"/>
                <w:kern w:val="0"/>
              </w:rPr>
              <w:t>生产用热采用</w:t>
            </w:r>
            <w:r>
              <w:rPr>
                <w:rFonts w:hint="eastAsia"/>
                <w:color w:val="auto"/>
                <w:kern w:val="0"/>
                <w:lang w:val="en-US" w:eastAsia="zh-CN"/>
              </w:rPr>
              <w:t>轻质柴油</w:t>
            </w:r>
            <w:r>
              <w:rPr>
                <w:rFonts w:hint="eastAsia"/>
                <w:color w:val="auto"/>
                <w:kern w:val="0"/>
                <w:lang w:eastAsia="zh-CN"/>
              </w:rPr>
              <w:t>，</w:t>
            </w:r>
            <w:r>
              <w:rPr>
                <w:rFonts w:hint="eastAsia"/>
                <w:color w:val="auto"/>
                <w:kern w:val="0"/>
                <w:lang w:val="en-US" w:eastAsia="zh-CN"/>
              </w:rPr>
              <w:t>不消耗煤炭资源</w:t>
            </w:r>
            <w:r>
              <w:rPr>
                <w:rFonts w:hint="eastAsia"/>
                <w:color w:val="auto"/>
                <w:kern w:val="0"/>
              </w:rPr>
              <w:t>。</w:t>
            </w:r>
            <w:r>
              <w:rPr>
                <w:color w:val="auto"/>
                <w:kern w:val="0"/>
              </w:rPr>
              <w:t>综上，本项目</w:t>
            </w:r>
            <w:r>
              <w:rPr>
                <w:rFonts w:hint="eastAsia"/>
                <w:color w:val="auto"/>
                <w:kern w:val="0"/>
                <w:lang w:val="en-US" w:eastAsia="zh-CN"/>
              </w:rPr>
              <w:t>符合</w:t>
            </w:r>
            <w:r>
              <w:rPr>
                <w:color w:val="auto"/>
                <w:kern w:val="0"/>
              </w:rPr>
              <w:t>能源、水资源、土地资源等资源利用上线要求。</w:t>
            </w:r>
          </w:p>
          <w:p>
            <w:pPr>
              <w:numPr>
                <w:ilvl w:val="0"/>
                <w:numId w:val="5"/>
              </w:numPr>
              <w:autoSpaceDE w:val="0"/>
              <w:autoSpaceDN w:val="0"/>
              <w:adjustRightInd w:val="0"/>
              <w:snapToGrid w:val="0"/>
              <w:spacing w:line="360" w:lineRule="auto"/>
              <w:ind w:firstLine="480" w:firstLineChars="200"/>
              <w:rPr>
                <w:color w:val="auto"/>
                <w:kern w:val="0"/>
              </w:rPr>
            </w:pPr>
            <w:r>
              <w:rPr>
                <w:color w:val="auto"/>
                <w:kern w:val="0"/>
              </w:rPr>
              <w:t>生态环境准入清单</w:t>
            </w:r>
          </w:p>
          <w:p>
            <w:pPr>
              <w:autoSpaceDE w:val="0"/>
              <w:autoSpaceDN w:val="0"/>
              <w:adjustRightInd w:val="0"/>
              <w:snapToGrid w:val="0"/>
              <w:spacing w:line="360" w:lineRule="auto"/>
              <w:ind w:firstLine="480" w:firstLineChars="200"/>
              <w:rPr>
                <w:color w:val="auto"/>
                <w:kern w:val="0"/>
              </w:rPr>
            </w:pPr>
            <w:r>
              <w:rPr>
                <w:color w:val="auto"/>
                <w:kern w:val="0"/>
              </w:rPr>
              <w:t>1）相关内容</w:t>
            </w:r>
          </w:p>
          <w:p>
            <w:pPr>
              <w:autoSpaceDE w:val="0"/>
              <w:autoSpaceDN w:val="0"/>
              <w:adjustRightInd w:val="0"/>
              <w:snapToGrid w:val="0"/>
              <w:spacing w:line="360" w:lineRule="auto"/>
              <w:ind w:firstLine="480" w:firstLineChars="200"/>
              <w:rPr>
                <w:color w:val="auto"/>
                <w:kern w:val="0"/>
              </w:rPr>
            </w:pPr>
            <w:r>
              <w:rPr>
                <w:rFonts w:hint="eastAsia"/>
                <w:color w:val="auto"/>
                <w:kern w:val="0"/>
              </w:rPr>
              <w:t>对照《</w:t>
            </w:r>
            <w:r>
              <w:rPr>
                <w:rFonts w:hint="eastAsia"/>
                <w:color w:val="auto"/>
                <w:kern w:val="0"/>
                <w:lang w:val="en-US" w:eastAsia="zh-CN"/>
              </w:rPr>
              <w:t>伊春市</w:t>
            </w:r>
            <w:r>
              <w:rPr>
                <w:rFonts w:hint="eastAsia"/>
                <w:color w:val="auto"/>
                <w:kern w:val="0"/>
              </w:rPr>
              <w:t>生态环境准入清单（2023年版）》及黑龙江省生态环境分区管控数据应用平台出具的“生态环境分区管控分析报告”可知，本项目位于</w:t>
            </w:r>
            <w:r>
              <w:rPr>
                <w:rFonts w:hint="eastAsia"/>
                <w:color w:val="auto"/>
                <w:kern w:val="0"/>
                <w:lang w:eastAsia="zh-CN"/>
              </w:rPr>
              <w:t>伊春市</w:t>
            </w:r>
            <w:r>
              <w:rPr>
                <w:rFonts w:hint="eastAsia"/>
                <w:color w:val="auto"/>
                <w:kern w:val="0"/>
                <w:lang w:val="en-US" w:eastAsia="zh-CN"/>
              </w:rPr>
              <w:t>嘉荫县</w:t>
            </w:r>
            <w:r>
              <w:rPr>
                <w:rFonts w:hint="eastAsia"/>
                <w:color w:val="auto"/>
                <w:kern w:val="0"/>
              </w:rPr>
              <w:t>，属于嘉荫县其他区域（ZH23072230002）。</w:t>
            </w:r>
          </w:p>
          <w:p>
            <w:pPr>
              <w:overflowPunct w:val="0"/>
              <w:spacing w:line="360" w:lineRule="auto"/>
              <w:ind w:firstLine="480" w:firstLineChars="200"/>
              <w:jc w:val="left"/>
              <w:rPr>
                <w:color w:val="auto"/>
                <w:szCs w:val="21"/>
              </w:rPr>
            </w:pPr>
            <w:r>
              <w:rPr>
                <w:rFonts w:hint="eastAsia"/>
                <w:color w:val="auto"/>
                <w:szCs w:val="21"/>
              </w:rPr>
              <w:t>2）</w:t>
            </w:r>
            <w:r>
              <w:rPr>
                <w:color w:val="auto"/>
                <w:szCs w:val="21"/>
              </w:rPr>
              <w:t>一图一表一说明</w:t>
            </w:r>
          </w:p>
          <w:p>
            <w:pPr>
              <w:overflowPunct w:val="0"/>
              <w:spacing w:line="360" w:lineRule="auto"/>
              <w:ind w:firstLine="480" w:firstLineChars="200"/>
              <w:jc w:val="left"/>
              <w:rPr>
                <w:color w:val="auto"/>
                <w:szCs w:val="21"/>
              </w:rPr>
            </w:pPr>
            <w:r>
              <w:rPr>
                <w:rFonts w:hint="eastAsia"/>
                <w:color w:val="auto"/>
                <w:szCs w:val="21"/>
              </w:rPr>
              <w:t>①一图</w:t>
            </w:r>
          </w:p>
          <w:p>
            <w:pPr>
              <w:overflowPunct w:val="0"/>
              <w:spacing w:line="360" w:lineRule="auto"/>
              <w:ind w:firstLine="480" w:firstLineChars="200"/>
              <w:jc w:val="left"/>
              <w:rPr>
                <w:color w:val="auto"/>
                <w:szCs w:val="21"/>
              </w:rPr>
            </w:pPr>
            <w:r>
              <w:rPr>
                <w:rFonts w:hint="eastAsia"/>
                <w:color w:val="auto"/>
                <w:szCs w:val="21"/>
              </w:rPr>
              <w:t>根据本项目“生态环境分区管控分析报告”，本项目与环境管控单元叠加图如下：</w:t>
            </w:r>
          </w:p>
          <w:p>
            <w:pPr>
              <w:pStyle w:val="55"/>
              <w:numPr>
                <w:ilvl w:val="0"/>
                <w:numId w:val="0"/>
              </w:numPr>
              <w:rPr>
                <w:color w:val="auto"/>
                <w:szCs w:val="24"/>
              </w:rPr>
            </w:pPr>
            <w:r>
              <w:rPr>
                <w:color w:val="auto"/>
              </w:rPr>
              <w:drawing>
                <wp:inline distT="0" distB="0" distL="114300" distR="114300">
                  <wp:extent cx="4861560" cy="2475865"/>
                  <wp:effectExtent l="0" t="0" r="15240" b="63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4"/>
                          <a:stretch>
                            <a:fillRect/>
                          </a:stretch>
                        </pic:blipFill>
                        <pic:spPr>
                          <a:xfrm>
                            <a:off x="0" y="0"/>
                            <a:ext cx="4861560" cy="2475865"/>
                          </a:xfrm>
                          <a:prstGeom prst="rect">
                            <a:avLst/>
                          </a:prstGeom>
                          <a:noFill/>
                          <a:ln>
                            <a:noFill/>
                          </a:ln>
                        </pic:spPr>
                      </pic:pic>
                    </a:graphicData>
                  </a:graphic>
                </wp:inline>
              </w:drawing>
            </w:r>
          </w:p>
          <w:p>
            <w:pPr>
              <w:pStyle w:val="55"/>
              <w:numPr>
                <w:ilvl w:val="0"/>
                <w:numId w:val="0"/>
              </w:numPr>
              <w:rPr>
                <w:color w:val="auto"/>
                <w:szCs w:val="24"/>
              </w:rPr>
            </w:pPr>
            <w:r>
              <w:rPr>
                <w:color w:val="auto"/>
              </w:rPr>
              <w:t>图1-</w:t>
            </w:r>
            <w:r>
              <w:rPr>
                <w:rFonts w:hint="eastAsia"/>
                <w:color w:val="auto"/>
              </w:rPr>
              <w:t>2</w:t>
            </w:r>
            <w:r>
              <w:rPr>
                <w:color w:val="auto"/>
              </w:rPr>
              <w:t xml:space="preserve"> </w:t>
            </w:r>
            <w:r>
              <w:rPr>
                <w:rFonts w:hint="eastAsia"/>
                <w:color w:val="auto"/>
              </w:rPr>
              <w:t xml:space="preserve"> </w:t>
            </w:r>
            <w:r>
              <w:rPr>
                <w:color w:val="auto"/>
              </w:rPr>
              <w:t>本项目与环境管控单元叠加图</w:t>
            </w:r>
          </w:p>
          <w:p>
            <w:pPr>
              <w:overflowPunct w:val="0"/>
              <w:spacing w:line="360" w:lineRule="auto"/>
              <w:ind w:firstLine="480" w:firstLineChars="200"/>
              <w:jc w:val="left"/>
              <w:rPr>
                <w:color w:val="auto"/>
                <w:szCs w:val="21"/>
              </w:rPr>
            </w:pPr>
            <w:r>
              <w:rPr>
                <w:rFonts w:hint="eastAsia"/>
                <w:color w:val="auto"/>
                <w:szCs w:val="21"/>
              </w:rPr>
              <w:t>②一表</w:t>
            </w:r>
          </w:p>
          <w:p>
            <w:pPr>
              <w:overflowPunct w:val="0"/>
              <w:spacing w:line="360" w:lineRule="auto"/>
              <w:ind w:firstLine="480" w:firstLineChars="200"/>
              <w:jc w:val="left"/>
              <w:rPr>
                <w:color w:val="auto"/>
              </w:rPr>
            </w:pPr>
            <w:r>
              <w:rPr>
                <w:rFonts w:hint="eastAsia"/>
                <w:color w:val="auto"/>
                <w:szCs w:val="21"/>
              </w:rPr>
              <w:t>根据本项目“生态环境分区管控分析报告”可知，本项目与环境管控单元符合性分析：</w:t>
            </w:r>
          </w:p>
          <w:p>
            <w:pPr>
              <w:pStyle w:val="55"/>
              <w:numPr>
                <w:ilvl w:val="0"/>
                <w:numId w:val="0"/>
              </w:numPr>
              <w:rPr>
                <w:color w:val="auto"/>
                <w:szCs w:val="24"/>
              </w:rPr>
            </w:pPr>
            <w:r>
              <w:rPr>
                <w:rFonts w:hint="eastAsia"/>
                <w:color w:val="auto"/>
                <w:szCs w:val="24"/>
              </w:rPr>
              <w:t>表1-</w:t>
            </w:r>
            <w:r>
              <w:rPr>
                <w:rFonts w:hint="eastAsia"/>
                <w:color w:val="auto"/>
                <w:szCs w:val="24"/>
                <w:lang w:val="en-US" w:eastAsia="zh-CN"/>
              </w:rPr>
              <w:t>2</w:t>
            </w:r>
            <w:r>
              <w:rPr>
                <w:rFonts w:hint="eastAsia"/>
                <w:color w:val="auto"/>
                <w:szCs w:val="24"/>
              </w:rPr>
              <w:t xml:space="preserve"> </w:t>
            </w:r>
            <w:r>
              <w:rPr>
                <w:color w:val="auto"/>
                <w:szCs w:val="24"/>
              </w:rPr>
              <w:t xml:space="preserve"> 生态环境准入清单符合性分析</w:t>
            </w:r>
          </w:p>
          <w:tbl>
            <w:tblPr>
              <w:tblStyle w:val="30"/>
              <w:tblpPr w:leftFromText="180" w:rightFromText="180" w:vertAnchor="text" w:tblpX="5" w:tblpY="1"/>
              <w:tblOverlap w:val="never"/>
              <w:tblW w:w="743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664"/>
              <w:gridCol w:w="456"/>
              <w:gridCol w:w="456"/>
              <w:gridCol w:w="3031"/>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6"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环境管控单元编码</w:t>
                  </w:r>
                </w:p>
              </w:tc>
              <w:tc>
                <w:tcPr>
                  <w:tcW w:w="66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环境管控单元名称</w:t>
                  </w:r>
                </w:p>
              </w:tc>
              <w:tc>
                <w:tcPr>
                  <w:tcW w:w="456"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管控单元类别</w:t>
                  </w:r>
                </w:p>
              </w:tc>
              <w:tc>
                <w:tcPr>
                  <w:tcW w:w="3487" w:type="dxa"/>
                  <w:gridSpan w:val="2"/>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管控要求</w:t>
                  </w:r>
                </w:p>
              </w:tc>
              <w:tc>
                <w:tcPr>
                  <w:tcW w:w="97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6" w:type="dxa"/>
                  <w:noWrap w:val="0"/>
                  <w:vAlign w:val="center"/>
                </w:tcPr>
                <w:p>
                  <w:pPr>
                    <w:pStyle w:val="10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ZH23072230002</w:t>
                  </w:r>
                </w:p>
              </w:tc>
              <w:tc>
                <w:tcPr>
                  <w:tcW w:w="664" w:type="dxa"/>
                  <w:noWrap w:val="0"/>
                  <w:vAlign w:val="center"/>
                </w:tcPr>
                <w:p>
                  <w:pPr>
                    <w:pStyle w:val="10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嘉荫县其他区域</w:t>
                  </w:r>
                </w:p>
              </w:tc>
              <w:tc>
                <w:tcPr>
                  <w:tcW w:w="456" w:type="dxa"/>
                  <w:noWrap w:val="0"/>
                  <w:vAlign w:val="center"/>
                </w:tcPr>
                <w:p>
                  <w:pPr>
                    <w:pStyle w:val="103"/>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一般管控单元</w:t>
                  </w:r>
                </w:p>
              </w:tc>
              <w:tc>
                <w:tcPr>
                  <w:tcW w:w="456" w:type="dxa"/>
                  <w:noWrap w:val="0"/>
                  <w:vAlign w:val="center"/>
                </w:tcPr>
                <w:p>
                  <w:pPr>
                    <w:pStyle w:val="103"/>
                    <w:adjustRightInd w:val="0"/>
                    <w:snapToGrid w:val="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空间布局约束</w:t>
                  </w:r>
                </w:p>
              </w:tc>
              <w:tc>
                <w:tcPr>
                  <w:tcW w:w="3031" w:type="dxa"/>
                  <w:noWrap w:val="0"/>
                  <w:vAlign w:val="center"/>
                </w:tcPr>
                <w:p>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1.引导工业项目向开发区集中，促进产业集聚、资源集约、绿色发展。</w:t>
                  </w:r>
                </w:p>
                <w:p>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972" w:type="dxa"/>
                  <w:noWrap w:val="0"/>
                  <w:vAlign w:val="center"/>
                </w:tcPr>
                <w:p>
                  <w:pPr>
                    <w:pStyle w:val="103"/>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本项目为公路配套沥青搅拌站</w:t>
                  </w:r>
                  <w:r>
                    <w:rPr>
                      <w:rFonts w:hint="eastAsia" w:ascii="Times New Roman" w:hAnsi="Times New Roman" w:eastAsia="宋体" w:cs="Times New Roman"/>
                      <w:color w:val="auto"/>
                      <w:sz w:val="24"/>
                      <w:szCs w:val="24"/>
                      <w:lang w:val="en-US" w:eastAsia="zh-CN"/>
                    </w:rPr>
                    <w:t>项目，为临时工程，</w:t>
                  </w:r>
                  <w:r>
                    <w:rPr>
                      <w:rFonts w:hint="eastAsia"/>
                      <w:color w:val="auto"/>
                      <w:sz w:val="24"/>
                      <w:szCs w:val="24"/>
                      <w:lang w:val="en-US" w:eastAsia="zh-CN"/>
                    </w:rPr>
                    <w:t>随着主体工程结束，本项目也将随之结束运营</w:t>
                  </w:r>
                </w:p>
              </w:tc>
            </w:tr>
          </w:tbl>
          <w:p>
            <w:pPr>
              <w:autoSpaceDE w:val="0"/>
              <w:autoSpaceDN w:val="0"/>
              <w:adjustRightInd w:val="0"/>
              <w:snapToGrid w:val="0"/>
              <w:spacing w:line="360" w:lineRule="auto"/>
              <w:ind w:firstLine="480" w:firstLineChars="200"/>
              <w:rPr>
                <w:color w:val="auto"/>
                <w:kern w:val="0"/>
              </w:rPr>
            </w:pPr>
            <w:r>
              <w:rPr>
                <w:rFonts w:hint="eastAsia"/>
                <w:color w:val="auto"/>
                <w:kern w:val="0"/>
              </w:rPr>
              <w:t>③一说明</w:t>
            </w:r>
          </w:p>
          <w:p>
            <w:pPr>
              <w:autoSpaceDE w:val="0"/>
              <w:autoSpaceDN w:val="0"/>
              <w:adjustRightInd w:val="0"/>
              <w:snapToGrid w:val="0"/>
              <w:spacing w:line="360" w:lineRule="auto"/>
              <w:ind w:firstLine="480" w:firstLineChars="200"/>
              <w:rPr>
                <w:rFonts w:hint="eastAsia"/>
                <w:color w:val="auto"/>
                <w:kern w:val="0"/>
              </w:rPr>
            </w:pPr>
            <w:r>
              <w:rPr>
                <w:rFonts w:hint="eastAsia"/>
                <w:color w:val="auto"/>
                <w:kern w:val="0"/>
                <w:lang w:eastAsia="zh-CN"/>
              </w:rPr>
              <w:t>国道丹阿公路嘉荫（稻田村）至嘉逊界（双胜村）段改扩建工程项目A2标段沥青混凝土拌和站</w:t>
            </w:r>
            <w:r>
              <w:rPr>
                <w:rFonts w:hint="eastAsia"/>
                <w:color w:val="auto"/>
                <w:kern w:val="0"/>
              </w:rPr>
              <w:t>项目位置涉及伊春市金林区</w:t>
            </w:r>
            <w:r>
              <w:rPr>
                <w:rFonts w:hint="eastAsia"/>
                <w:color w:val="auto"/>
                <w:kern w:val="0"/>
                <w:lang w:eastAsia="zh-CN"/>
              </w:rPr>
              <w:t>：</w:t>
            </w:r>
            <w:r>
              <w:rPr>
                <w:rFonts w:hint="eastAsia"/>
                <w:color w:val="auto"/>
                <w:kern w:val="0"/>
              </w:rPr>
              <w:t>项目占地总面积0.05平方公里。与生态保护红线交集面积为0.00平方公里，占项目占地面积的0.00%。与自然保护地整合优化方案数据交集面积为0.00平方公里，占项目占地面积的0.00%。保护地涉及等类型。与自然保护地</w:t>
            </w:r>
            <w:r>
              <w:rPr>
                <w:rFonts w:hint="eastAsia"/>
                <w:color w:val="auto"/>
                <w:kern w:val="0"/>
                <w:lang w:eastAsia="zh-CN"/>
              </w:rPr>
              <w:t>（</w:t>
            </w:r>
            <w:r>
              <w:rPr>
                <w:rFonts w:hint="eastAsia"/>
                <w:color w:val="auto"/>
                <w:kern w:val="0"/>
              </w:rPr>
              <w:t>现状管理数据</w:t>
            </w:r>
            <w:r>
              <w:rPr>
                <w:rFonts w:hint="eastAsia"/>
                <w:color w:val="auto"/>
                <w:kern w:val="0"/>
                <w:lang w:eastAsia="zh-CN"/>
              </w:rPr>
              <w:t>）</w:t>
            </w:r>
            <w:r>
              <w:rPr>
                <w:rFonts w:hint="eastAsia"/>
                <w:color w:val="auto"/>
                <w:kern w:val="0"/>
              </w:rPr>
              <w:t>交集面积为0.00平方公里，占项目占地面积的0.00%。保护地涉及等类型。与饮用水水源保护区交集面积为0.00平方公里，占项目占地面积的0.00%。与国家级水产种质资源保护区交集面积为0.00平方公里，占项目占地面积的 0.00%。与环境管控单元优先保护单元交集面积为0.00平方公里，占项目占地面积的0.00%</w:t>
            </w:r>
            <w:r>
              <w:rPr>
                <w:rFonts w:hint="eastAsia"/>
                <w:color w:val="auto"/>
                <w:kern w:val="0"/>
                <w:lang w:eastAsia="zh-CN"/>
              </w:rPr>
              <w:t>；</w:t>
            </w:r>
            <w:r>
              <w:rPr>
                <w:rFonts w:hint="eastAsia"/>
                <w:color w:val="auto"/>
                <w:kern w:val="0"/>
              </w:rPr>
              <w:t>与重点管控单元交集面积为0.05平方公里占项目占地面积的100.00%</w:t>
            </w:r>
            <w:r>
              <w:rPr>
                <w:rFonts w:hint="eastAsia"/>
                <w:color w:val="auto"/>
                <w:kern w:val="0"/>
                <w:lang w:eastAsia="zh-CN"/>
              </w:rPr>
              <w:t>；</w:t>
            </w:r>
            <w:r>
              <w:rPr>
                <w:rFonts w:hint="eastAsia"/>
                <w:color w:val="auto"/>
                <w:kern w:val="0"/>
              </w:rPr>
              <w:t>一般管控单元交集面积为0.00平方公里，占项目占地面积的0.00%。与地下水环境优先保护区交集面积为0.00平方公里，占项目占地面积的0.00%</w:t>
            </w:r>
            <w:r>
              <w:rPr>
                <w:rFonts w:hint="eastAsia"/>
                <w:color w:val="auto"/>
                <w:kern w:val="0"/>
                <w:lang w:eastAsia="zh-CN"/>
              </w:rPr>
              <w:t>：</w:t>
            </w:r>
            <w:r>
              <w:rPr>
                <w:rFonts w:hint="eastAsia"/>
                <w:color w:val="auto"/>
                <w:kern w:val="0"/>
              </w:rPr>
              <w:t>与地下水环境重点管控区交集面积为0.00平方公里，占项目占地面积的0.00%，与地下水环境一般管控区交集面积为0.05平方公里，占项目占地面积的100.00%。</w:t>
            </w:r>
          </w:p>
          <w:p>
            <w:pPr>
              <w:autoSpaceDE w:val="0"/>
              <w:autoSpaceDN w:val="0"/>
              <w:adjustRightInd w:val="0"/>
              <w:snapToGrid w:val="0"/>
              <w:spacing w:line="360" w:lineRule="auto"/>
              <w:ind w:firstLine="480" w:firstLineChars="200"/>
              <w:rPr>
                <w:color w:val="auto"/>
                <w:kern w:val="0"/>
              </w:rPr>
            </w:pPr>
            <w:r>
              <w:rPr>
                <w:color w:val="auto"/>
                <w:kern w:val="0"/>
              </w:rPr>
              <w:t>根据上表，</w:t>
            </w:r>
            <w:r>
              <w:rPr>
                <w:rFonts w:hint="eastAsia"/>
                <w:color w:val="auto"/>
              </w:rPr>
              <w:t>项目建设符合</w:t>
            </w:r>
            <w:r>
              <w:rPr>
                <w:rFonts w:hint="eastAsia"/>
                <w:color w:val="auto"/>
                <w:lang w:val="en-US" w:eastAsia="zh-CN"/>
              </w:rPr>
              <w:t>生态环境分区管控</w:t>
            </w:r>
            <w:r>
              <w:rPr>
                <w:rFonts w:hint="eastAsia"/>
                <w:color w:val="auto"/>
              </w:rPr>
              <w:t>的要求</w:t>
            </w:r>
            <w:r>
              <w:rPr>
                <w:color w:val="auto"/>
                <w:kern w:val="0"/>
              </w:rPr>
              <w:t>。</w:t>
            </w:r>
          </w:p>
          <w:p>
            <w:pPr>
              <w:pStyle w:val="51"/>
              <w:numPr>
                <w:ilvl w:val="0"/>
                <w:numId w:val="4"/>
              </w:numPr>
              <w:ind w:firstLine="482"/>
              <w:rPr>
                <w:b/>
                <w:bCs/>
                <w:color w:val="auto"/>
              </w:rPr>
            </w:pPr>
            <w:r>
              <w:rPr>
                <w:b/>
                <w:color w:val="auto"/>
                <w:kern w:val="0"/>
                <w:szCs w:val="21"/>
              </w:rPr>
              <w:t>与《黑龙江省大气污染防治条例》符合性分</w:t>
            </w:r>
            <w:r>
              <w:rPr>
                <w:b/>
                <w:bCs/>
                <w:color w:val="auto"/>
              </w:rPr>
              <w:t>析</w:t>
            </w:r>
          </w:p>
          <w:p>
            <w:pPr>
              <w:pStyle w:val="55"/>
              <w:numPr>
                <w:ilvl w:val="0"/>
                <w:numId w:val="0"/>
              </w:numPr>
              <w:rPr>
                <w:rFonts w:hint="eastAsia"/>
                <w:color w:val="auto"/>
                <w:szCs w:val="24"/>
              </w:rPr>
            </w:pPr>
            <w:r>
              <w:rPr>
                <w:rFonts w:hint="eastAsia"/>
                <w:color w:val="auto"/>
                <w:szCs w:val="24"/>
              </w:rPr>
              <w:t>表1-</w:t>
            </w:r>
            <w:r>
              <w:rPr>
                <w:rFonts w:hint="eastAsia"/>
                <w:color w:val="auto"/>
                <w:szCs w:val="24"/>
                <w:lang w:val="en-US" w:eastAsia="zh-CN"/>
              </w:rPr>
              <w:t>3</w:t>
            </w:r>
            <w:r>
              <w:rPr>
                <w:rFonts w:hint="eastAsia"/>
                <w:color w:val="auto"/>
                <w:szCs w:val="24"/>
              </w:rPr>
              <w:t xml:space="preserve">  与《黑龙江省大气污染防治条例》符合性分析</w:t>
            </w:r>
          </w:p>
          <w:tbl>
            <w:tblPr>
              <w:tblStyle w:val="30"/>
              <w:tblpPr w:leftFromText="180" w:rightFromText="180" w:vertAnchor="text" w:horzAnchor="page" w:tblpX="-187" w:tblpY="283"/>
              <w:tblOverlap w:val="never"/>
              <w:tblW w:w="74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254"/>
              <w:gridCol w:w="2444"/>
              <w:gridCol w:w="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trPr>
              <w:tc>
                <w:tcPr>
                  <w:tcW w:w="4254" w:type="dxa"/>
                  <w:vAlign w:val="center"/>
                </w:tcPr>
                <w:p>
                  <w:pPr>
                    <w:pStyle w:val="29"/>
                    <w:spacing w:after="0"/>
                    <w:ind w:left="0" w:leftChars="0" w:firstLine="0" w:firstLineChars="0"/>
                    <w:jc w:val="center"/>
                    <w:rPr>
                      <w:b/>
                      <w:color w:val="auto"/>
                      <w:sz w:val="21"/>
                      <w:szCs w:val="21"/>
                    </w:rPr>
                  </w:pPr>
                  <w:r>
                    <w:rPr>
                      <w:b/>
                      <w:color w:val="auto"/>
                      <w:sz w:val="21"/>
                      <w:szCs w:val="21"/>
                    </w:rPr>
                    <w:t>《黑龙江省大气污染防治条例》中规定</w:t>
                  </w:r>
                </w:p>
              </w:tc>
              <w:tc>
                <w:tcPr>
                  <w:tcW w:w="2444" w:type="dxa"/>
                  <w:vAlign w:val="center"/>
                </w:tcPr>
                <w:p>
                  <w:pPr>
                    <w:pStyle w:val="29"/>
                    <w:spacing w:after="0"/>
                    <w:ind w:left="0" w:leftChars="0" w:firstLine="0" w:firstLineChars="0"/>
                    <w:jc w:val="center"/>
                    <w:rPr>
                      <w:b/>
                      <w:color w:val="auto"/>
                      <w:sz w:val="21"/>
                      <w:szCs w:val="21"/>
                    </w:rPr>
                  </w:pPr>
                  <w:r>
                    <w:rPr>
                      <w:b/>
                      <w:color w:val="auto"/>
                      <w:sz w:val="21"/>
                      <w:szCs w:val="21"/>
                    </w:rPr>
                    <w:t>项目情况</w:t>
                  </w:r>
                </w:p>
              </w:tc>
              <w:tc>
                <w:tcPr>
                  <w:tcW w:w="740" w:type="dxa"/>
                  <w:vAlign w:val="center"/>
                </w:tcPr>
                <w:p>
                  <w:pPr>
                    <w:pStyle w:val="29"/>
                    <w:spacing w:after="0"/>
                    <w:ind w:left="0" w:leftChars="0" w:firstLine="0" w:firstLineChars="0"/>
                    <w:jc w:val="center"/>
                    <w:rPr>
                      <w:b/>
                      <w:color w:val="auto"/>
                      <w:sz w:val="21"/>
                      <w:szCs w:val="21"/>
                    </w:rPr>
                  </w:pPr>
                  <w:r>
                    <w:rPr>
                      <w:b/>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trPr>
              <w:tc>
                <w:tcPr>
                  <w:tcW w:w="4254" w:type="dxa"/>
                  <w:vAlign w:val="center"/>
                </w:tcPr>
                <w:p>
                  <w:pPr>
                    <w:rPr>
                      <w:color w:val="auto"/>
                      <w:sz w:val="21"/>
                      <w:szCs w:val="21"/>
                    </w:rPr>
                  </w:pPr>
                  <w:r>
                    <w:rPr>
                      <w:bCs/>
                      <w:color w:val="auto"/>
                      <w:sz w:val="21"/>
                      <w:szCs w:val="21"/>
                    </w:rPr>
                    <w:t>向大气排放污染物的企业事业单位和其他生产经营者，应当配套建设大气污染防治设施。配套建设的大气污染防治设施，应当与主体工程同时设计、同时施工、同时投产使用，不得擅自拆除或者闲置</w:t>
                  </w:r>
                  <w:r>
                    <w:rPr>
                      <w:rFonts w:hint="eastAsia"/>
                      <w:bCs/>
                      <w:color w:val="auto"/>
                      <w:sz w:val="21"/>
                      <w:szCs w:val="21"/>
                    </w:rPr>
                    <w:t>。</w:t>
                  </w:r>
                </w:p>
              </w:tc>
              <w:tc>
                <w:tcPr>
                  <w:tcW w:w="2444" w:type="dxa"/>
                  <w:vAlign w:val="center"/>
                </w:tcPr>
                <w:p>
                  <w:pPr>
                    <w:pStyle w:val="29"/>
                    <w:spacing w:after="0"/>
                    <w:ind w:left="0" w:leftChars="0" w:firstLine="0" w:firstLineChars="0"/>
                    <w:rPr>
                      <w:color w:val="auto"/>
                      <w:sz w:val="21"/>
                      <w:szCs w:val="21"/>
                    </w:rPr>
                  </w:pPr>
                  <w:r>
                    <w:rPr>
                      <w:color w:val="auto"/>
                      <w:sz w:val="21"/>
                      <w:szCs w:val="21"/>
                    </w:rPr>
                    <w:t>本项目</w:t>
                  </w:r>
                  <w:r>
                    <w:rPr>
                      <w:rFonts w:hint="eastAsia"/>
                      <w:bCs/>
                      <w:color w:val="auto"/>
                      <w:sz w:val="21"/>
                      <w:szCs w:val="21"/>
                    </w:rPr>
                    <w:t>沥青混凝土搅拌站为全封闭一体，</w:t>
                  </w:r>
                  <w:r>
                    <w:rPr>
                      <w:rFonts w:hint="eastAsia"/>
                      <w:bCs/>
                      <w:color w:val="auto"/>
                      <w:sz w:val="21"/>
                      <w:szCs w:val="21"/>
                      <w:lang w:val="en-US" w:eastAsia="zh-CN"/>
                    </w:rPr>
                    <w:t>矿</w:t>
                  </w:r>
                  <w:r>
                    <w:rPr>
                      <w:rFonts w:hint="eastAsia"/>
                      <w:bCs/>
                      <w:color w:val="auto"/>
                      <w:sz w:val="21"/>
                      <w:szCs w:val="21"/>
                    </w:rPr>
                    <w:t>粉</w:t>
                  </w:r>
                  <w:r>
                    <w:rPr>
                      <w:rFonts w:hint="eastAsia"/>
                      <w:bCs/>
                      <w:color w:val="auto"/>
                      <w:sz w:val="21"/>
                      <w:szCs w:val="21"/>
                      <w:lang w:val="en-US" w:eastAsia="zh-CN"/>
                    </w:rPr>
                    <w:t>筒</w:t>
                  </w:r>
                  <w:r>
                    <w:rPr>
                      <w:rFonts w:hint="eastAsia"/>
                      <w:bCs/>
                      <w:color w:val="auto"/>
                      <w:sz w:val="21"/>
                      <w:szCs w:val="21"/>
                    </w:rPr>
                    <w:t>仓配备布袋除尘器+脉冲吹扫；</w:t>
                  </w:r>
                  <w:r>
                    <w:rPr>
                      <w:rFonts w:hint="eastAsia"/>
                      <w:color w:val="auto"/>
                      <w:sz w:val="21"/>
                      <w:szCs w:val="21"/>
                    </w:rPr>
                    <w:t>封闭式</w:t>
                  </w:r>
                  <w:r>
                    <w:rPr>
                      <w:rFonts w:hint="eastAsia"/>
                      <w:bCs/>
                      <w:color w:val="auto"/>
                      <w:sz w:val="21"/>
                      <w:szCs w:val="21"/>
                    </w:rPr>
                    <w:t>原料场</w:t>
                  </w:r>
                  <w:r>
                    <w:rPr>
                      <w:rFonts w:hint="eastAsia"/>
                      <w:color w:val="auto"/>
                      <w:sz w:val="21"/>
                      <w:szCs w:val="21"/>
                    </w:rPr>
                    <w:t>，洒水抑尘、厂区地面硬化</w:t>
                  </w:r>
                  <w:r>
                    <w:rPr>
                      <w:rFonts w:hint="eastAsia"/>
                      <w:bCs/>
                      <w:color w:val="auto"/>
                      <w:sz w:val="21"/>
                      <w:szCs w:val="21"/>
                    </w:rPr>
                    <w:t>；皮带输送机整体封闭。</w:t>
                  </w:r>
                  <w:r>
                    <w:rPr>
                      <w:rFonts w:hint="eastAsia"/>
                      <w:bCs/>
                      <w:color w:val="auto"/>
                      <w:sz w:val="21"/>
                      <w:szCs w:val="21"/>
                      <w:lang w:val="en-US" w:eastAsia="zh-CN"/>
                    </w:rPr>
                    <w:t>烘干和燃烧器废气经旋风+布袋除尘器处理后排放，</w:t>
                  </w:r>
                  <w:r>
                    <w:rPr>
                      <w:bCs/>
                      <w:color w:val="auto"/>
                      <w:sz w:val="21"/>
                      <w:szCs w:val="21"/>
                    </w:rPr>
                    <w:t>减少粉尘对大气环境的影响。</w:t>
                  </w:r>
                </w:p>
              </w:tc>
              <w:tc>
                <w:tcPr>
                  <w:tcW w:w="740" w:type="dxa"/>
                  <w:vAlign w:val="center"/>
                </w:tcPr>
                <w:p>
                  <w:pPr>
                    <w:pStyle w:val="29"/>
                    <w:spacing w:after="0"/>
                    <w:ind w:left="0" w:leftChars="0" w:firstLine="0" w:firstLineChars="0"/>
                    <w:jc w:val="center"/>
                    <w:rPr>
                      <w:color w:val="auto"/>
                      <w:sz w:val="21"/>
                      <w:szCs w:val="21"/>
                    </w:rPr>
                  </w:pPr>
                  <w:r>
                    <w:rPr>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trPr>
              <w:tc>
                <w:tcPr>
                  <w:tcW w:w="4254" w:type="dxa"/>
                  <w:vAlign w:val="center"/>
                </w:tcPr>
                <w:p>
                  <w:pPr>
                    <w:rPr>
                      <w:bCs/>
                      <w:color w:val="auto"/>
                      <w:sz w:val="21"/>
                      <w:szCs w:val="21"/>
                    </w:rPr>
                  </w:pPr>
                  <w:r>
                    <w:rPr>
                      <w:bCs/>
                      <w:color w:val="auto"/>
                      <w:sz w:val="21"/>
                      <w:szCs w:val="21"/>
                    </w:rPr>
                    <w:t>建设单位应当将防治扬尘污染的费用列入工程造价，并在施工承包合同中明确施工单位的扬尘污染防治责任。房屋建筑、市政基础设施建设等施工单位应当制定、实施包括重污染天气应对措施在内的施工扬尘污染防治实施方案，并遵守下列规定：</w:t>
                  </w:r>
                </w:p>
                <w:p>
                  <w:pPr>
                    <w:rPr>
                      <w:bCs/>
                      <w:color w:val="auto"/>
                      <w:sz w:val="21"/>
                      <w:szCs w:val="21"/>
                    </w:rPr>
                  </w:pPr>
                  <w:r>
                    <w:rPr>
                      <w:bCs/>
                      <w:color w:val="auto"/>
                      <w:sz w:val="21"/>
                      <w:szCs w:val="21"/>
                    </w:rPr>
                    <w:t>（一）在施工工地设置硬质围挡，并负责维护；</w:t>
                  </w:r>
                </w:p>
                <w:p>
                  <w:pPr>
                    <w:rPr>
                      <w:bCs/>
                      <w:color w:val="auto"/>
                      <w:sz w:val="21"/>
                      <w:szCs w:val="21"/>
                    </w:rPr>
                  </w:pPr>
                  <w:r>
                    <w:rPr>
                      <w:bCs/>
                      <w:color w:val="auto"/>
                      <w:sz w:val="21"/>
                      <w:szCs w:val="21"/>
                    </w:rPr>
                    <w:t>（二）在施工工地公示扬尘污染防治措施、负责人、扬尘监督管理主管部门等信息；</w:t>
                  </w:r>
                </w:p>
                <w:p>
                  <w:pPr>
                    <w:rPr>
                      <w:bCs/>
                      <w:color w:val="auto"/>
                      <w:sz w:val="21"/>
                      <w:szCs w:val="21"/>
                    </w:rPr>
                  </w:pPr>
                  <w:r>
                    <w:rPr>
                      <w:bCs/>
                      <w:color w:val="auto"/>
                      <w:sz w:val="21"/>
                      <w:szCs w:val="21"/>
                    </w:rPr>
                    <w:t>（三）在施工工地出口设置车辆冲洗设施，车辆不得带泥上路，施工工地通道以及出入口周边的道路不得存放建筑垃圾；</w:t>
                  </w:r>
                </w:p>
                <w:p>
                  <w:pPr>
                    <w:rPr>
                      <w:bCs/>
                      <w:color w:val="auto"/>
                      <w:sz w:val="21"/>
                      <w:szCs w:val="21"/>
                    </w:rPr>
                  </w:pPr>
                  <w:r>
                    <w:rPr>
                      <w:bCs/>
                      <w:color w:val="auto"/>
                      <w:sz w:val="21"/>
                      <w:szCs w:val="21"/>
                    </w:rPr>
                    <w:t>（四）施工工地出入口、主要通道、加工区等采取硬化处理措施；</w:t>
                  </w:r>
                </w:p>
                <w:p>
                  <w:pPr>
                    <w:rPr>
                      <w:bCs/>
                      <w:color w:val="auto"/>
                      <w:sz w:val="21"/>
                      <w:szCs w:val="21"/>
                    </w:rPr>
                  </w:pPr>
                  <w:r>
                    <w:rPr>
                      <w:bCs/>
                      <w:color w:val="auto"/>
                      <w:sz w:val="21"/>
                      <w:szCs w:val="21"/>
                    </w:rPr>
                    <w:t>（五）对施工工地内堆存的建筑土方、工程渣土、建筑垃圾，采取密闭式防尘网遮盖；</w:t>
                  </w:r>
                </w:p>
                <w:p>
                  <w:pPr>
                    <w:rPr>
                      <w:bCs/>
                      <w:color w:val="auto"/>
                      <w:sz w:val="21"/>
                      <w:szCs w:val="21"/>
                    </w:rPr>
                  </w:pPr>
                  <w:r>
                    <w:rPr>
                      <w:bCs/>
                      <w:color w:val="auto"/>
                      <w:sz w:val="21"/>
                      <w:szCs w:val="21"/>
                    </w:rPr>
                    <w:t>（六）在施工工地建筑结构脚手架外侧设置有效抑尘的密闭式防尘网；</w:t>
                  </w:r>
                </w:p>
                <w:p>
                  <w:pPr>
                    <w:rPr>
                      <w:bCs/>
                      <w:color w:val="auto"/>
                      <w:sz w:val="21"/>
                      <w:szCs w:val="21"/>
                    </w:rPr>
                  </w:pPr>
                  <w:r>
                    <w:rPr>
                      <w:bCs/>
                      <w:color w:val="auto"/>
                      <w:sz w:val="21"/>
                      <w:szCs w:val="21"/>
                    </w:rPr>
                    <w:t>（七）采取封闭方式及时清运建筑垃圾；</w:t>
                  </w:r>
                </w:p>
                <w:p>
                  <w:pPr>
                    <w:rPr>
                      <w:bCs/>
                      <w:color w:val="auto"/>
                      <w:sz w:val="21"/>
                      <w:szCs w:val="21"/>
                    </w:rPr>
                  </w:pPr>
                  <w:r>
                    <w:rPr>
                      <w:bCs/>
                      <w:color w:val="auto"/>
                      <w:sz w:val="21"/>
                      <w:szCs w:val="21"/>
                    </w:rPr>
                    <w:t>（八）有效防尘、降尘的其他措施。</w:t>
                  </w:r>
                </w:p>
              </w:tc>
              <w:tc>
                <w:tcPr>
                  <w:tcW w:w="2444" w:type="dxa"/>
                  <w:vAlign w:val="center"/>
                </w:tcPr>
                <w:p>
                  <w:pPr>
                    <w:rPr>
                      <w:color w:val="auto"/>
                      <w:sz w:val="21"/>
                      <w:szCs w:val="21"/>
                    </w:rPr>
                  </w:pPr>
                  <w:r>
                    <w:rPr>
                      <w:bCs/>
                      <w:color w:val="auto"/>
                      <w:sz w:val="21"/>
                      <w:szCs w:val="21"/>
                    </w:rPr>
                    <w:t>施工现场应设置围栏或部分围栏，缩小施工范围，设置全封闭围挡，控制扬尘。遇大风天气应用塑料膜将沙石堆覆盖；干燥天应该经常性给</w:t>
                  </w:r>
                  <w:r>
                    <w:rPr>
                      <w:rFonts w:hint="eastAsia"/>
                      <w:bCs/>
                      <w:color w:val="auto"/>
                      <w:sz w:val="21"/>
                      <w:szCs w:val="21"/>
                    </w:rPr>
                    <w:t>石</w:t>
                  </w:r>
                  <w:r>
                    <w:rPr>
                      <w:bCs/>
                      <w:color w:val="auto"/>
                      <w:sz w:val="21"/>
                      <w:szCs w:val="21"/>
                    </w:rPr>
                    <w:t>堆洒水，保持</w:t>
                  </w:r>
                  <w:r>
                    <w:rPr>
                      <w:rFonts w:hint="eastAsia"/>
                      <w:bCs/>
                      <w:color w:val="auto"/>
                      <w:sz w:val="21"/>
                      <w:szCs w:val="21"/>
                    </w:rPr>
                    <w:t>石</w:t>
                  </w:r>
                  <w:r>
                    <w:rPr>
                      <w:bCs/>
                      <w:color w:val="auto"/>
                      <w:sz w:val="21"/>
                      <w:szCs w:val="21"/>
                    </w:rPr>
                    <w:t>堆一定的湿度，减少起尘量。运输水</w:t>
                  </w:r>
                  <w:r>
                    <w:rPr>
                      <w:rFonts w:hint="eastAsia"/>
                      <w:bCs/>
                      <w:color w:val="auto"/>
                      <w:sz w:val="21"/>
                      <w:szCs w:val="21"/>
                    </w:rPr>
                    <w:t>石子</w:t>
                  </w:r>
                  <w:r>
                    <w:rPr>
                      <w:bCs/>
                      <w:color w:val="auto"/>
                      <w:sz w:val="21"/>
                      <w:szCs w:val="21"/>
                    </w:rPr>
                    <w:t>等过程中应加盖苫布防止扬尘产生，施工场地洒水抑尘。加强往返于施工区车辆的管理和维修，施工机械完好率要求在90%以上，使用有害物质量少的优质燃料，并定期对施工设备进行维护，以减少尾气排放；对尾气排放不达标的机械车辆，禁止进行进入施工区施工。</w:t>
                  </w:r>
                </w:p>
              </w:tc>
              <w:tc>
                <w:tcPr>
                  <w:tcW w:w="740" w:type="dxa"/>
                  <w:vAlign w:val="center"/>
                </w:tcPr>
                <w:p>
                  <w:pPr>
                    <w:pStyle w:val="29"/>
                    <w:spacing w:after="0"/>
                    <w:ind w:left="0" w:leftChars="0" w:firstLine="0" w:firstLineChars="0"/>
                    <w:jc w:val="center"/>
                    <w:rPr>
                      <w:bCs/>
                      <w:color w:val="auto"/>
                      <w:sz w:val="21"/>
                      <w:szCs w:val="21"/>
                    </w:rPr>
                  </w:pPr>
                  <w:r>
                    <w:rPr>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trPr>
              <w:tc>
                <w:tcPr>
                  <w:tcW w:w="4254" w:type="dxa"/>
                  <w:vAlign w:val="center"/>
                </w:tcPr>
                <w:p>
                  <w:pPr>
                    <w:rPr>
                      <w:bCs/>
                      <w:color w:val="auto"/>
                      <w:sz w:val="21"/>
                      <w:szCs w:val="21"/>
                    </w:rPr>
                  </w:pPr>
                  <w:r>
                    <w:rPr>
                      <w:bCs/>
                      <w:color w:val="auto"/>
                      <w:sz w:val="21"/>
                      <w:szCs w:val="21"/>
                    </w:rPr>
                    <w:t>运输煤炭、垃圾、渣土、砂石、土方、灰浆等散装、流体物料的车辆，应当采取密闭或者其他措施防止物料遗撒、泄漏，并按照规定的路线和时间行驶。</w:t>
                  </w:r>
                </w:p>
              </w:tc>
              <w:tc>
                <w:tcPr>
                  <w:tcW w:w="2444" w:type="dxa"/>
                  <w:vAlign w:val="center"/>
                </w:tcPr>
                <w:p>
                  <w:pPr>
                    <w:rPr>
                      <w:bCs/>
                      <w:color w:val="auto"/>
                      <w:sz w:val="21"/>
                      <w:szCs w:val="21"/>
                    </w:rPr>
                  </w:pPr>
                  <w:r>
                    <w:rPr>
                      <w:rFonts w:hint="eastAsia"/>
                      <w:color w:val="auto"/>
                      <w:sz w:val="21"/>
                      <w:szCs w:val="21"/>
                    </w:rPr>
                    <w:t>料粉</w:t>
                  </w:r>
                  <w:r>
                    <w:rPr>
                      <w:color w:val="auto"/>
                      <w:sz w:val="21"/>
                      <w:szCs w:val="21"/>
                    </w:rPr>
                    <w:t>采用封闭式罐车运入厂区，砂石料运输车辆全部采用苫布覆盖，原料的输送、计量及投料均为封闭式。</w:t>
                  </w:r>
                </w:p>
              </w:tc>
              <w:tc>
                <w:tcPr>
                  <w:tcW w:w="740" w:type="dxa"/>
                  <w:vAlign w:val="center"/>
                </w:tcPr>
                <w:p>
                  <w:pPr>
                    <w:jc w:val="center"/>
                    <w:rPr>
                      <w:bCs/>
                      <w:color w:val="auto"/>
                      <w:sz w:val="21"/>
                      <w:szCs w:val="21"/>
                    </w:rPr>
                  </w:pPr>
                  <w:r>
                    <w:rPr>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trPr>
              <w:tc>
                <w:tcPr>
                  <w:tcW w:w="4254" w:type="dxa"/>
                  <w:vAlign w:val="center"/>
                </w:tcPr>
                <w:p>
                  <w:pPr>
                    <w:rPr>
                      <w:bCs/>
                      <w:color w:val="auto"/>
                      <w:sz w:val="21"/>
                      <w:szCs w:val="21"/>
                    </w:rPr>
                  </w:pPr>
                  <w:r>
                    <w:rPr>
                      <w:bCs/>
                      <w:color w:val="auto"/>
                      <w:sz w:val="21"/>
                      <w:szCs w:val="21"/>
                    </w:rPr>
                    <w:t>设区的市级城市建成区内，禁止新建额定蒸发量低于每小时二十吨或者额定功率低于十四兆瓦的燃煤锅炉；已经建成的额定蒸发量每小时十吨以下或者额定功率七兆瓦以下的燃煤锅炉，应当在国家规定的期限内淘汰。国家对新建和淘汰燃煤锅炉另有规定的，从其规定</w:t>
                  </w:r>
                  <w:r>
                    <w:rPr>
                      <w:rFonts w:hint="eastAsia"/>
                      <w:bCs/>
                      <w:color w:val="auto"/>
                      <w:sz w:val="21"/>
                      <w:szCs w:val="21"/>
                    </w:rPr>
                    <w:t>。</w:t>
                  </w:r>
                </w:p>
              </w:tc>
              <w:tc>
                <w:tcPr>
                  <w:tcW w:w="2444" w:type="dxa"/>
                  <w:vAlign w:val="center"/>
                </w:tcPr>
                <w:p>
                  <w:pPr>
                    <w:rPr>
                      <w:bCs/>
                      <w:color w:val="auto"/>
                      <w:sz w:val="21"/>
                      <w:szCs w:val="21"/>
                    </w:rPr>
                  </w:pPr>
                  <w:r>
                    <w:rPr>
                      <w:color w:val="auto"/>
                      <w:sz w:val="21"/>
                      <w:szCs w:val="21"/>
                    </w:rPr>
                    <w:t>本项目生产</w:t>
                  </w:r>
                  <w:r>
                    <w:rPr>
                      <w:rFonts w:hint="eastAsia"/>
                      <w:color w:val="auto"/>
                      <w:sz w:val="21"/>
                      <w:szCs w:val="21"/>
                    </w:rPr>
                    <w:t>用热采用</w:t>
                  </w:r>
                  <w:r>
                    <w:rPr>
                      <w:rFonts w:hint="eastAsia"/>
                      <w:color w:val="auto"/>
                      <w:sz w:val="21"/>
                      <w:szCs w:val="21"/>
                      <w:lang w:val="en-US" w:eastAsia="zh-CN"/>
                    </w:rPr>
                    <w:t>天然气</w:t>
                  </w:r>
                  <w:r>
                    <w:rPr>
                      <w:rFonts w:hint="eastAsia"/>
                      <w:color w:val="auto"/>
                      <w:sz w:val="21"/>
                      <w:szCs w:val="21"/>
                    </w:rPr>
                    <w:t>为燃料</w:t>
                  </w:r>
                  <w:r>
                    <w:rPr>
                      <w:color w:val="auto"/>
                      <w:sz w:val="21"/>
                      <w:szCs w:val="21"/>
                    </w:rPr>
                    <w:t>，冬季不生产无需采暖，因此本项目不建设燃煤锅炉。</w:t>
                  </w:r>
                </w:p>
              </w:tc>
              <w:tc>
                <w:tcPr>
                  <w:tcW w:w="740" w:type="dxa"/>
                  <w:vAlign w:val="center"/>
                </w:tcPr>
                <w:p>
                  <w:pPr>
                    <w:jc w:val="center"/>
                    <w:rPr>
                      <w:bCs/>
                      <w:color w:val="auto"/>
                      <w:sz w:val="21"/>
                      <w:szCs w:val="21"/>
                    </w:rPr>
                  </w:pPr>
                  <w:r>
                    <w:rPr>
                      <w:bCs/>
                      <w:color w:val="auto"/>
                      <w:sz w:val="21"/>
                      <w:szCs w:val="21"/>
                    </w:rPr>
                    <w:t>符合</w:t>
                  </w:r>
                </w:p>
              </w:tc>
            </w:tr>
          </w:tbl>
          <w:p>
            <w:pPr>
              <w:rPr>
                <w:color w:val="auto"/>
              </w:rPr>
            </w:pPr>
          </w:p>
          <w:p>
            <w:pPr>
              <w:autoSpaceDE w:val="0"/>
              <w:autoSpaceDN w:val="0"/>
              <w:adjustRightInd w:val="0"/>
              <w:snapToGrid w:val="0"/>
              <w:spacing w:line="360" w:lineRule="auto"/>
              <w:ind w:firstLine="480" w:firstLineChars="200"/>
              <w:rPr>
                <w:color w:val="auto"/>
                <w:kern w:val="0"/>
              </w:rPr>
            </w:pPr>
            <w:r>
              <w:rPr>
                <w:color w:val="auto"/>
                <w:kern w:val="0"/>
              </w:rPr>
              <w:t>本项目符合《黑龙江省大气污染防治条例》中相关规定。</w:t>
            </w:r>
          </w:p>
          <w:p>
            <w:pPr>
              <w:pStyle w:val="51"/>
              <w:numPr>
                <w:ilvl w:val="0"/>
                <w:numId w:val="4"/>
              </w:numPr>
              <w:ind w:firstLine="482"/>
              <w:rPr>
                <w:b/>
                <w:color w:val="auto"/>
                <w:kern w:val="0"/>
                <w:szCs w:val="21"/>
              </w:rPr>
            </w:pPr>
            <w:bookmarkStart w:id="7" w:name="_Toc109129774"/>
            <w:r>
              <w:rPr>
                <w:rFonts w:hint="eastAsia" w:hAnsi="宋体" w:cs="宋体"/>
                <w:b/>
                <w:color w:val="auto"/>
              </w:rPr>
              <w:t>与《黑龙江省空气质量持续改善行动计划实施方案》符合性分析</w:t>
            </w:r>
          </w:p>
          <w:p>
            <w:pPr>
              <w:autoSpaceDE w:val="0"/>
              <w:autoSpaceDN w:val="0"/>
              <w:adjustRightInd w:val="0"/>
              <w:snapToGrid w:val="0"/>
              <w:spacing w:line="360" w:lineRule="auto"/>
              <w:ind w:firstLine="480" w:firstLineChars="200"/>
              <w:rPr>
                <w:color w:val="auto"/>
                <w:szCs w:val="21"/>
              </w:rPr>
            </w:pPr>
            <w:r>
              <w:rPr>
                <w:rFonts w:hint="eastAsia"/>
                <w:color w:val="auto"/>
                <w:szCs w:val="21"/>
              </w:rPr>
              <w:t>《黑龙江省空气质量持续改善行动计划实施方案》指出：（四）严格环境准入要求。新改扩建高耗能、高排放、低水平项目，要严格遵照产业规划和政策、生态环境分区管控、规划环评、项目环评、节能审查以及产能置换、总量控制、区域污染物削减、碳达峰等相关要求执行，原则上采用清洁运输方式。涉及产能置换的项目，被置换产能及其配套设施同步关停后，新建项目方能投产。坚决遏制“两高一低”项目盲目上马。</w:t>
            </w:r>
          </w:p>
          <w:p>
            <w:pPr>
              <w:autoSpaceDE w:val="0"/>
              <w:autoSpaceDN w:val="0"/>
              <w:adjustRightInd w:val="0"/>
              <w:snapToGrid w:val="0"/>
              <w:spacing w:line="360" w:lineRule="auto"/>
              <w:ind w:firstLine="480" w:firstLineChars="200"/>
              <w:rPr>
                <w:color w:val="auto"/>
                <w:szCs w:val="21"/>
              </w:rPr>
            </w:pPr>
            <w:r>
              <w:rPr>
                <w:rFonts w:hint="eastAsia"/>
                <w:color w:val="auto"/>
                <w:szCs w:val="21"/>
              </w:rPr>
              <w:t>（十一）积极推进燃煤锅炉淘汰改造。各地要将燃煤供热锅炉替代项目纳入城镇供热规划。县级及以上城市建成区原则上不再新建35蒸吨/小时及以下燃煤锅炉，其他地区原则上不再新建10蒸吨/小时及以下燃煤锅炉。加快热力管网建设，依托电厂、大型工业企业开展远距离供热示范，充分释放热电联产、工业余热等供热能力，淘汰管网覆盖范围内的供热燃煤锅炉和散煤。到2025年，</w:t>
            </w:r>
            <w:r>
              <w:rPr>
                <w:rFonts w:hint="eastAsia"/>
                <w:color w:val="auto"/>
                <w:szCs w:val="21"/>
                <w:lang w:eastAsia="zh-CN"/>
              </w:rPr>
              <w:t>伊春市</w:t>
            </w:r>
            <w:r>
              <w:rPr>
                <w:rFonts w:hint="eastAsia"/>
                <w:color w:val="auto"/>
                <w:szCs w:val="21"/>
              </w:rPr>
              <w:t>、佳木斯市、七台河市、绥化市基本完成城市建成区35蒸吨/小时及以下燃煤锅炉淘汰；</w:t>
            </w:r>
            <w:r>
              <w:rPr>
                <w:rFonts w:hint="eastAsia"/>
                <w:color w:val="auto"/>
                <w:szCs w:val="21"/>
                <w:lang w:eastAsia="zh-CN"/>
              </w:rPr>
              <w:t>伊春市</w:t>
            </w:r>
            <w:r>
              <w:rPr>
                <w:rFonts w:hint="eastAsia"/>
                <w:color w:val="auto"/>
                <w:szCs w:val="21"/>
              </w:rPr>
              <w:t>、绥化市基本淘汰行政区域内10蒸吨/小时及以下的燃煤锅炉。</w:t>
            </w:r>
          </w:p>
          <w:p>
            <w:pPr>
              <w:autoSpaceDE w:val="0"/>
              <w:autoSpaceDN w:val="0"/>
              <w:adjustRightInd w:val="0"/>
              <w:snapToGrid w:val="0"/>
              <w:spacing w:line="360" w:lineRule="auto"/>
              <w:ind w:firstLine="480" w:firstLineChars="200"/>
              <w:rPr>
                <w:color w:val="auto"/>
                <w:szCs w:val="21"/>
              </w:rPr>
            </w:pPr>
            <w:r>
              <w:rPr>
                <w:rFonts w:hint="eastAsia"/>
                <w:color w:val="auto"/>
                <w:szCs w:val="21"/>
              </w:rPr>
              <w:t>（十三）以试点城市为引领持续推进清洁取暖。因地制宜成片推进北方地区清洁取暖，确保群众温暖过冬。</w:t>
            </w:r>
            <w:r>
              <w:rPr>
                <w:rFonts w:hint="eastAsia"/>
                <w:color w:val="auto"/>
                <w:szCs w:val="21"/>
                <w:lang w:eastAsia="zh-CN"/>
              </w:rPr>
              <w:t>伊春市</w:t>
            </w:r>
            <w:r>
              <w:rPr>
                <w:rFonts w:hint="eastAsia"/>
                <w:color w:val="auto"/>
                <w:szCs w:val="21"/>
              </w:rPr>
              <w:t>、齐齐哈尔市、佳木斯市充分发挥清洁取暖示范作用，以多能互补的区域性和可再生能源清洁供暖方式提高热源清洁化率，保质保量完成改造任务，其中“煤改气”要落实气源、以供定改。实施建筑节能改造，加快既有农房节能改造，提升建筑能效。依法将整体完成清洁取暖改造的地区划定为高污染燃料禁燃区，防止散煤复烧。对暂未实施清洁取暖的地区，强化商品煤质量监督与管理，确保符合国家或地方标准要求。</w:t>
            </w:r>
          </w:p>
          <w:p>
            <w:pPr>
              <w:autoSpaceDE w:val="0"/>
              <w:autoSpaceDN w:val="0"/>
              <w:adjustRightInd w:val="0"/>
              <w:snapToGrid w:val="0"/>
              <w:spacing w:line="360" w:lineRule="auto"/>
              <w:ind w:firstLine="480" w:firstLineChars="200"/>
              <w:rPr>
                <w:color w:val="auto"/>
                <w:szCs w:val="21"/>
              </w:rPr>
            </w:pPr>
            <w:r>
              <w:rPr>
                <w:rFonts w:hint="eastAsia"/>
                <w:color w:val="auto"/>
                <w:szCs w:val="21"/>
              </w:rPr>
              <w:t>（十四）积极推进散煤污染治理。各市（地）持续推进散煤污染治理，加大民用、农用散煤替代力度。加快实施散煤源头减量、散煤清洁替代、供应能力提升和基础设施保障等“四大工程”，统筹城中村、城乡结合部、农村等地区散煤污染治理，到2025年，</w:t>
            </w:r>
            <w:r>
              <w:rPr>
                <w:rFonts w:hint="eastAsia"/>
                <w:color w:val="auto"/>
                <w:szCs w:val="21"/>
                <w:lang w:eastAsia="zh-CN"/>
              </w:rPr>
              <w:t>伊春市</w:t>
            </w:r>
            <w:r>
              <w:rPr>
                <w:rFonts w:hint="eastAsia"/>
                <w:color w:val="auto"/>
                <w:szCs w:val="21"/>
              </w:rPr>
              <w:t>、齐齐哈尔市、大庆市、绥化市散煤用量比2020年减少50%。</w:t>
            </w:r>
          </w:p>
          <w:p>
            <w:pPr>
              <w:autoSpaceDE w:val="0"/>
              <w:autoSpaceDN w:val="0"/>
              <w:adjustRightInd w:val="0"/>
              <w:snapToGrid w:val="0"/>
              <w:spacing w:line="360" w:lineRule="auto"/>
              <w:ind w:firstLine="480" w:firstLineChars="200"/>
              <w:rPr>
                <w:color w:val="auto"/>
                <w:szCs w:val="21"/>
              </w:rPr>
            </w:pPr>
            <w:r>
              <w:rPr>
                <w:rFonts w:hint="eastAsia"/>
                <w:color w:val="auto"/>
                <w:szCs w:val="21"/>
              </w:rPr>
              <w:t>（十九）深化扬尘污染综合治理。全面推行绿色施工，严格执行“六个百分之百”，将防治扬尘污染费用纳入工程造价。到2025年，装配式建筑占新建建筑面积的比例达到30%；地级及以上城市建成区道路机械化清扫率达80%左右，县城达70%左右。对城市公共裸地进行排查建档并采取防尘措施。城市大型煤炭、矿石等干散货码头物料堆场基本完成抑尘设施建设和物料输送系统封闭改造。（省住房城乡建设厅、省生态环境厅、省交通运输厅等按职责分工负责）。</w:t>
            </w:r>
          </w:p>
          <w:p>
            <w:pPr>
              <w:autoSpaceDE w:val="0"/>
              <w:autoSpaceDN w:val="0"/>
              <w:adjustRightInd w:val="0"/>
              <w:snapToGrid w:val="0"/>
              <w:spacing w:line="360" w:lineRule="auto"/>
              <w:ind w:firstLine="480" w:firstLineChars="200"/>
              <w:rPr>
                <w:color w:val="auto"/>
                <w:szCs w:val="21"/>
              </w:rPr>
            </w:pPr>
            <w:r>
              <w:rPr>
                <w:rFonts w:hint="eastAsia"/>
                <w:color w:val="auto"/>
                <w:szCs w:val="21"/>
              </w:rPr>
              <w:t>本项目导热油炉及燃烧器采用</w:t>
            </w:r>
            <w:r>
              <w:rPr>
                <w:rFonts w:hint="eastAsia"/>
                <w:color w:val="auto"/>
                <w:szCs w:val="21"/>
                <w:lang w:val="en-US" w:eastAsia="zh-CN"/>
              </w:rPr>
              <w:t>轻质柴油</w:t>
            </w:r>
            <w:r>
              <w:rPr>
                <w:rFonts w:hint="eastAsia"/>
                <w:color w:val="auto"/>
                <w:szCs w:val="21"/>
              </w:rPr>
              <w:t>为燃料，</w:t>
            </w:r>
            <w:r>
              <w:rPr>
                <w:rFonts w:hint="eastAsia"/>
                <w:color w:val="auto"/>
                <w:szCs w:val="21"/>
                <w:lang w:val="en-US" w:eastAsia="zh-CN"/>
              </w:rPr>
              <w:t>不使用煤作为燃料，本项目</w:t>
            </w:r>
            <w:r>
              <w:rPr>
                <w:rFonts w:hint="eastAsia"/>
                <w:color w:val="auto"/>
                <w:szCs w:val="21"/>
              </w:rPr>
              <w:t>冬季不生产，无需采暖。本项目料仓堆存装卸过程中采取洒水降尘等措施。因此本项目符合《黑龙江省空气质量持续改善行动计划实施方案》中的相关要求。</w:t>
            </w:r>
          </w:p>
          <w:bookmarkEnd w:id="7"/>
          <w:p>
            <w:pPr>
              <w:pStyle w:val="51"/>
              <w:numPr>
                <w:ilvl w:val="0"/>
                <w:numId w:val="4"/>
              </w:numPr>
              <w:ind w:firstLine="482"/>
              <w:jc w:val="both"/>
              <w:rPr>
                <w:b/>
                <w:bCs w:val="0"/>
                <w:color w:val="auto"/>
              </w:rPr>
            </w:pPr>
            <w:r>
              <w:rPr>
                <w:b/>
                <w:bCs w:val="0"/>
                <w:color w:val="auto"/>
                <w:kern w:val="0"/>
                <w:szCs w:val="21"/>
              </w:rPr>
              <w:t>与《</w:t>
            </w:r>
            <w:r>
              <w:rPr>
                <w:rFonts w:hint="eastAsia"/>
                <w:b/>
                <w:bCs w:val="0"/>
                <w:color w:val="auto"/>
                <w:kern w:val="0"/>
                <w:szCs w:val="21"/>
              </w:rPr>
              <w:t>关于加强二恶英污染防治的指导意见</w:t>
            </w:r>
            <w:r>
              <w:rPr>
                <w:b/>
                <w:bCs w:val="0"/>
                <w:color w:val="auto"/>
                <w:kern w:val="0"/>
                <w:szCs w:val="21"/>
              </w:rPr>
              <w:t>》符合性分析</w:t>
            </w:r>
          </w:p>
          <w:p>
            <w:pPr>
              <w:pStyle w:val="51"/>
              <w:ind w:firstLine="480"/>
              <w:jc w:val="both"/>
              <w:rPr>
                <w:color w:val="auto"/>
              </w:rPr>
            </w:pPr>
            <w:r>
              <w:rPr>
                <w:rFonts w:hint="eastAsia"/>
                <w:color w:val="auto"/>
              </w:rPr>
              <w:t>（五）淘汰落后产能。严格落实《国务院关于进一步加强淘汰落后产能工作的通知》（国发〔2010〕7号）</w:t>
            </w:r>
            <w:r>
              <w:rPr>
                <w:rFonts w:hint="eastAsia"/>
                <w:color w:val="auto"/>
                <w:lang w:eastAsia="zh-CN"/>
              </w:rPr>
              <w:t>，</w:t>
            </w:r>
            <w:r>
              <w:rPr>
                <w:rFonts w:hint="eastAsia"/>
                <w:color w:val="auto"/>
              </w:rPr>
              <w:t>加大落后产能淘汰力度，加速淘汰二恶英污染严重、削减和控制无经济可行性的落后产能。（六）严格环境准入条件。......（二十）加大资金投入。拓宽投融资渠道，加大对重点行业二恶英削减和控制投入力度。各级政府在安排节能减排等环保投资时，应加大对重点源二恶英削减和控制的支持力度，鼓励当地企业削减和控制二恶英。积极引导各类资本进入二恶英削减控制领域。积极加强国内外交流与合作，争取国际社会资金和技术支持。</w:t>
            </w:r>
          </w:p>
          <w:p>
            <w:pPr>
              <w:pStyle w:val="51"/>
              <w:ind w:firstLine="480"/>
              <w:jc w:val="both"/>
              <w:rPr>
                <w:rFonts w:hint="eastAsia"/>
                <w:color w:val="auto"/>
              </w:rPr>
            </w:pPr>
            <w:r>
              <w:rPr>
                <w:rFonts w:hint="eastAsia"/>
                <w:color w:val="auto"/>
              </w:rPr>
              <w:t>本项目为沥青混凝土制造项目，本项目不属于淘汰落后和过剩产能行业，冬季不生产，新建导热油炉使用</w:t>
            </w:r>
            <w:r>
              <w:rPr>
                <w:rFonts w:hint="eastAsia"/>
                <w:color w:val="auto"/>
                <w:lang w:val="en-US" w:eastAsia="zh-CN"/>
              </w:rPr>
              <w:t>轻质柴油</w:t>
            </w:r>
            <w:r>
              <w:rPr>
                <w:rFonts w:hint="eastAsia"/>
                <w:color w:val="auto"/>
              </w:rPr>
              <w:t>为燃料。符合《关于加强二恶英污染防治的指导意见》要求。</w:t>
            </w:r>
          </w:p>
          <w:p>
            <w:pPr>
              <w:pStyle w:val="51"/>
              <w:numPr>
                <w:ilvl w:val="0"/>
                <w:numId w:val="4"/>
              </w:numPr>
              <w:ind w:left="0" w:leftChars="0" w:firstLine="482" w:firstLineChars="200"/>
              <w:jc w:val="both"/>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与《环境空气细颗粒物污染综合防治技术政策》符合性分析</w:t>
            </w:r>
          </w:p>
          <w:p>
            <w:pPr>
              <w:pStyle w:val="51"/>
              <w:numPr>
                <w:ilvl w:val="0"/>
                <w:numId w:val="0"/>
              </w:numPr>
              <w:ind w:firstLine="480" w:firstLineChars="200"/>
              <w:jc w:val="both"/>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环境空气细颗粒物污染综合防治技术政策》中提出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r>
              <w:rPr>
                <w:rFonts w:hint="default" w:ascii="Times New Roman" w:hAnsi="Times New Roman" w:eastAsia="宋体" w:cs="Times New Roman"/>
                <w:color w:val="auto"/>
                <w:kern w:val="2"/>
                <w:sz w:val="24"/>
                <w:szCs w:val="21"/>
                <w:lang w:val="en-US" w:eastAsia="zh-CN" w:bidi="ar-SA"/>
              </w:rPr>
              <w:t>产生大气颗粒物及其前体物污染物的生产活动应尽量采用密闭装置，避免无组织排放；无法完全密闭的，应安装集气装置收集逸散的污染物，经净化后排放。</w:t>
            </w:r>
          </w:p>
          <w:p>
            <w:pPr>
              <w:pStyle w:val="51"/>
              <w:numPr>
                <w:ilvl w:val="0"/>
                <w:numId w:val="0"/>
              </w:numPr>
              <w:ind w:firstLine="480" w:firstLineChars="200"/>
              <w:jc w:val="both"/>
              <w:rPr>
                <w:rFonts w:hint="eastAsia"/>
                <w:color w:val="auto"/>
                <w:szCs w:val="21"/>
              </w:rPr>
            </w:pPr>
            <w:r>
              <w:rPr>
                <w:rFonts w:hint="eastAsia"/>
                <w:color w:val="auto"/>
                <w:szCs w:val="21"/>
              </w:rPr>
              <w:t>本项目导热油炉及燃烧器采用</w:t>
            </w:r>
            <w:r>
              <w:rPr>
                <w:rFonts w:hint="eastAsia"/>
                <w:color w:val="auto"/>
                <w:szCs w:val="21"/>
                <w:lang w:val="en-US" w:eastAsia="zh-CN"/>
              </w:rPr>
              <w:t>轻质柴油</w:t>
            </w:r>
            <w:r>
              <w:rPr>
                <w:rFonts w:hint="eastAsia"/>
                <w:color w:val="auto"/>
                <w:szCs w:val="21"/>
              </w:rPr>
              <w:t>为燃料，</w:t>
            </w:r>
            <w:r>
              <w:rPr>
                <w:rFonts w:hint="eastAsia"/>
                <w:color w:val="auto"/>
                <w:szCs w:val="21"/>
                <w:lang w:val="en-US" w:eastAsia="zh-CN"/>
              </w:rPr>
              <w:t>不使用煤作为燃料，本项目</w:t>
            </w:r>
            <w:r>
              <w:rPr>
                <w:rFonts w:hint="eastAsia"/>
                <w:color w:val="auto"/>
                <w:szCs w:val="21"/>
              </w:rPr>
              <w:t>冬季不生产，无需采暖。</w:t>
            </w:r>
            <w:r>
              <w:rPr>
                <w:rFonts w:hint="eastAsia"/>
                <w:color w:val="auto"/>
                <w:szCs w:val="21"/>
                <w:lang w:val="en-US" w:eastAsia="zh-CN"/>
              </w:rPr>
              <w:t>矿粉筒仓采用脉冲布袋除尘器处理后有组织排放，烘干和燃烧器废气经旋风+布袋除尘器处理后有组织排放，</w:t>
            </w:r>
            <w:r>
              <w:rPr>
                <w:rFonts w:hint="eastAsia"/>
                <w:color w:val="auto"/>
                <w:szCs w:val="21"/>
              </w:rPr>
              <w:t>本项目料仓</w:t>
            </w:r>
            <w:r>
              <w:rPr>
                <w:rFonts w:hint="eastAsia"/>
                <w:color w:val="auto"/>
                <w:szCs w:val="21"/>
                <w:lang w:val="en-US" w:eastAsia="zh-CN"/>
              </w:rPr>
              <w:t>为封闭式，</w:t>
            </w:r>
            <w:r>
              <w:rPr>
                <w:rFonts w:hint="eastAsia"/>
                <w:color w:val="auto"/>
                <w:szCs w:val="21"/>
              </w:rPr>
              <w:t>堆存装卸过程中采取洒水降尘等措施</w:t>
            </w:r>
            <w:r>
              <w:rPr>
                <w:rFonts w:hint="eastAsia"/>
                <w:color w:val="auto"/>
                <w:szCs w:val="21"/>
                <w:lang w:eastAsia="zh-CN"/>
              </w:rPr>
              <w:t>，</w:t>
            </w:r>
            <w:r>
              <w:rPr>
                <w:rFonts w:hint="eastAsia"/>
                <w:color w:val="auto"/>
                <w:szCs w:val="21"/>
                <w:lang w:val="en-US" w:eastAsia="zh-CN"/>
              </w:rPr>
              <w:t>因此本项目符合</w:t>
            </w:r>
            <w:r>
              <w:rPr>
                <w:rFonts w:hint="eastAsia" w:ascii="Times New Roman" w:hAnsi="Times New Roman" w:eastAsia="宋体" w:cs="Times New Roman"/>
                <w:color w:val="auto"/>
                <w:kern w:val="2"/>
                <w:sz w:val="24"/>
                <w:szCs w:val="21"/>
                <w:lang w:val="en-US" w:eastAsia="zh-CN" w:bidi="ar-SA"/>
              </w:rPr>
              <w:t>《环境空气细颗粒物污染综合防治技术政策》中</w:t>
            </w:r>
            <w:r>
              <w:rPr>
                <w:rFonts w:hint="eastAsia" w:eastAsia="宋体" w:cs="Times New Roman"/>
                <w:color w:val="auto"/>
                <w:kern w:val="2"/>
                <w:sz w:val="24"/>
                <w:szCs w:val="21"/>
                <w:lang w:val="en-US" w:eastAsia="zh-CN" w:bidi="ar-SA"/>
              </w:rPr>
              <w:t>要求</w:t>
            </w:r>
            <w:r>
              <w:rPr>
                <w:rFonts w:hint="eastAsia"/>
                <w:color w:val="auto"/>
                <w:szCs w:val="21"/>
              </w:rPr>
              <w:t>。</w:t>
            </w:r>
          </w:p>
          <w:p>
            <w:pPr>
              <w:pStyle w:val="51"/>
              <w:numPr>
                <w:ilvl w:val="0"/>
                <w:numId w:val="4"/>
              </w:numPr>
              <w:ind w:left="0" w:leftChars="0" w:firstLine="482" w:firstLineChars="200"/>
              <w:jc w:val="both"/>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与《伊春市空气质量持续改善行动计划实施方案》符合性分析</w:t>
            </w:r>
          </w:p>
          <w:p>
            <w:pPr>
              <w:pStyle w:val="51"/>
              <w:numPr>
                <w:ilvl w:val="0"/>
                <w:numId w:val="0"/>
              </w:numPr>
              <w:ind w:firstLine="480" w:firstLineChars="200"/>
              <w:jc w:val="both"/>
              <w:rPr>
                <w:rFonts w:hint="eastAsia"/>
                <w:color w:val="auto"/>
                <w:szCs w:val="21"/>
                <w:lang w:val="en-US" w:eastAsia="zh-CN"/>
              </w:rPr>
            </w:pPr>
            <w:r>
              <w:rPr>
                <w:rFonts w:hint="eastAsia"/>
                <w:color w:val="auto"/>
                <w:szCs w:val="21"/>
                <w:lang w:val="en-US" w:eastAsia="zh-CN"/>
              </w:rPr>
              <w:t>方案中提出深化扬尘污染综合治理。按照国家、省有关要求，全面推进绿色施工，严格执行“六个百分之百”将防治扬尘污染费用纳入工程造价。积极推进燃煤锅炉淘汰改造。各县(市)区要将燃煤供热锅炉替代项目纳入城镇供热规划。县级及以上城市建成区原则上不再新建35蒸吨/小时及以下燃煤锅炉,其他地区原则上不再新建10蒸吨/小时及以下燃煤锅炉。加快热力管网建设，依托电厂、大型工业企业开展远距离供热示范，充分释放热电联产、工业余热等供热能力，淘汰管网覆盖范围内的供热燃煤锅炉和散煤。</w:t>
            </w:r>
          </w:p>
          <w:p>
            <w:pPr>
              <w:pStyle w:val="51"/>
              <w:numPr>
                <w:ilvl w:val="0"/>
                <w:numId w:val="0"/>
              </w:numPr>
              <w:ind w:firstLine="480" w:firstLineChars="200"/>
              <w:jc w:val="both"/>
              <w:rPr>
                <w:rFonts w:hint="default"/>
                <w:color w:val="auto"/>
                <w:szCs w:val="21"/>
                <w:lang w:val="en-US" w:eastAsia="zh-CN"/>
              </w:rPr>
            </w:pPr>
            <w:r>
              <w:rPr>
                <w:rFonts w:hint="eastAsia"/>
                <w:color w:val="auto"/>
                <w:szCs w:val="21"/>
              </w:rPr>
              <w:t>本项目导热油炉及燃烧器采用</w:t>
            </w:r>
            <w:r>
              <w:rPr>
                <w:rFonts w:hint="eastAsia"/>
                <w:color w:val="auto"/>
                <w:szCs w:val="21"/>
                <w:lang w:val="en-US" w:eastAsia="zh-CN"/>
              </w:rPr>
              <w:t>柴油</w:t>
            </w:r>
            <w:r>
              <w:rPr>
                <w:rFonts w:hint="eastAsia"/>
                <w:color w:val="auto"/>
                <w:szCs w:val="21"/>
              </w:rPr>
              <w:t>为燃料，</w:t>
            </w:r>
            <w:r>
              <w:rPr>
                <w:rFonts w:hint="eastAsia"/>
                <w:color w:val="auto"/>
                <w:szCs w:val="21"/>
                <w:lang w:val="en-US" w:eastAsia="zh-CN"/>
              </w:rPr>
              <w:t>不使用煤作为燃料，本项目</w:t>
            </w:r>
            <w:r>
              <w:rPr>
                <w:rFonts w:hint="eastAsia"/>
                <w:color w:val="auto"/>
                <w:szCs w:val="21"/>
              </w:rPr>
              <w:t>冬季不生产，无需采暖。</w:t>
            </w:r>
            <w:r>
              <w:rPr>
                <w:rFonts w:hint="eastAsia"/>
                <w:color w:val="auto"/>
                <w:szCs w:val="21"/>
                <w:lang w:val="en-US" w:eastAsia="zh-CN"/>
              </w:rPr>
              <w:t>矿粉筒仓采用脉冲布袋除尘器处理后有组织排放，烘干和燃烧器废气经旋风+布袋除尘器处理后有组织排放，</w:t>
            </w:r>
            <w:r>
              <w:rPr>
                <w:rFonts w:hint="eastAsia"/>
                <w:color w:val="auto"/>
                <w:szCs w:val="21"/>
              </w:rPr>
              <w:t>本项目料仓</w:t>
            </w:r>
            <w:r>
              <w:rPr>
                <w:rFonts w:hint="eastAsia"/>
                <w:color w:val="auto"/>
                <w:szCs w:val="21"/>
                <w:lang w:val="en-US" w:eastAsia="zh-CN"/>
              </w:rPr>
              <w:t>为封闭式，</w:t>
            </w:r>
            <w:r>
              <w:rPr>
                <w:rFonts w:hint="eastAsia"/>
                <w:color w:val="auto"/>
                <w:szCs w:val="21"/>
              </w:rPr>
              <w:t>堆存装卸过程中采取洒水降尘等措施</w:t>
            </w:r>
            <w:r>
              <w:rPr>
                <w:rFonts w:hint="eastAsia"/>
                <w:color w:val="auto"/>
                <w:szCs w:val="21"/>
                <w:lang w:eastAsia="zh-CN"/>
              </w:rPr>
              <w:t>，</w:t>
            </w:r>
            <w:r>
              <w:rPr>
                <w:rFonts w:hint="eastAsia"/>
                <w:color w:val="auto"/>
                <w:szCs w:val="21"/>
                <w:lang w:val="en-US" w:eastAsia="zh-CN"/>
              </w:rPr>
              <w:t>因此本项目符合</w:t>
            </w:r>
            <w:r>
              <w:rPr>
                <w:rFonts w:hint="eastAsia" w:ascii="Times New Roman" w:hAnsi="Times New Roman" w:eastAsia="宋体" w:cs="Times New Roman"/>
                <w:color w:val="auto"/>
                <w:kern w:val="2"/>
                <w:sz w:val="24"/>
                <w:szCs w:val="21"/>
                <w:lang w:val="en-US" w:eastAsia="zh-CN" w:bidi="ar-SA"/>
              </w:rPr>
              <w:t>《环境空气细颗粒物污染综合防治技术政策》中</w:t>
            </w:r>
            <w:r>
              <w:rPr>
                <w:rFonts w:hint="eastAsia" w:eastAsia="宋体" w:cs="Times New Roman"/>
                <w:color w:val="auto"/>
                <w:kern w:val="2"/>
                <w:sz w:val="24"/>
                <w:szCs w:val="21"/>
                <w:lang w:val="en-US" w:eastAsia="zh-CN" w:bidi="ar-SA"/>
              </w:rPr>
              <w:t>要求</w:t>
            </w:r>
            <w:r>
              <w:rPr>
                <w:rFonts w:hint="eastAsia"/>
                <w:color w:val="auto"/>
                <w:szCs w:val="21"/>
              </w:rPr>
              <w:t>。</w:t>
            </w:r>
          </w:p>
        </w:tc>
      </w:tr>
    </w:tbl>
    <w:p>
      <w:pPr>
        <w:jc w:val="center"/>
        <w:outlineLvl w:val="0"/>
        <w:rPr>
          <w:rFonts w:eastAsia="黑体"/>
          <w:color w:val="auto"/>
          <w:sz w:val="30"/>
          <w:szCs w:val="30"/>
        </w:rPr>
        <w:sectPr>
          <w:headerReference r:id="rId6" w:type="default"/>
          <w:footerReference r:id="rId7" w:type="default"/>
          <w:pgSz w:w="11906" w:h="16838"/>
          <w:pgMar w:top="1440" w:right="1800" w:bottom="1440" w:left="1800" w:header="851" w:footer="992" w:gutter="0"/>
          <w:pgNumType w:start="1"/>
          <w:cols w:space="425" w:num="1"/>
          <w:docGrid w:linePitch="312" w:charSpace="0"/>
        </w:sectPr>
      </w:pPr>
      <w:bookmarkStart w:id="8" w:name="_Toc496"/>
      <w:bookmarkStart w:id="9" w:name="_Toc3130"/>
    </w:p>
    <w:p>
      <w:pPr>
        <w:ind w:left="420" w:leftChars="0" w:firstLine="420" w:firstLineChars="0"/>
        <w:jc w:val="center"/>
        <w:outlineLvl w:val="0"/>
        <w:rPr>
          <w:rFonts w:eastAsia="黑体"/>
          <w:color w:val="auto"/>
          <w:sz w:val="30"/>
          <w:szCs w:val="30"/>
        </w:rPr>
      </w:pPr>
      <w:bookmarkStart w:id="10" w:name="_Toc15321"/>
      <w:bookmarkStart w:id="11" w:name="_Toc11967"/>
      <w:bookmarkStart w:id="12" w:name="_Toc28455"/>
      <w:r>
        <w:rPr>
          <w:rFonts w:eastAsia="黑体"/>
          <w:color w:val="auto"/>
          <w:sz w:val="30"/>
          <w:szCs w:val="30"/>
        </w:rPr>
        <w:t>二、建设项目工程分析</w:t>
      </w:r>
      <w:bookmarkEnd w:id="8"/>
      <w:bookmarkEnd w:id="9"/>
      <w:bookmarkEnd w:id="10"/>
      <w:bookmarkEnd w:id="11"/>
      <w:bookmarkEnd w:id="12"/>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69" w:hRule="atLeast"/>
        </w:trPr>
        <w:tc>
          <w:tcPr>
            <w:tcW w:w="446" w:type="dxa"/>
            <w:vAlign w:val="center"/>
          </w:tcPr>
          <w:p>
            <w:pPr>
              <w:jc w:val="center"/>
              <w:rPr>
                <w:color w:val="auto"/>
              </w:rPr>
            </w:pPr>
            <w:r>
              <w:rPr>
                <w:color w:val="auto"/>
              </w:rPr>
              <w:t>建设内容</w:t>
            </w:r>
          </w:p>
        </w:tc>
        <w:tc>
          <w:tcPr>
            <w:tcW w:w="8076" w:type="dxa"/>
          </w:tcPr>
          <w:p>
            <w:pPr>
              <w:pStyle w:val="51"/>
              <w:numPr>
                <w:ilvl w:val="0"/>
                <w:numId w:val="6"/>
              </w:numPr>
              <w:ind w:firstLine="482"/>
              <w:rPr>
                <w:b/>
                <w:bCs/>
                <w:color w:val="auto"/>
              </w:rPr>
            </w:pPr>
            <w:r>
              <w:rPr>
                <w:b/>
                <w:bCs/>
                <w:color w:val="auto"/>
              </w:rPr>
              <w:t>工程概况</w:t>
            </w:r>
          </w:p>
          <w:p>
            <w:pPr>
              <w:pStyle w:val="51"/>
              <w:ind w:firstLine="480"/>
              <w:rPr>
                <w:rFonts w:hint="eastAsia" w:eastAsia="宋体"/>
                <w:color w:val="auto"/>
                <w:lang w:eastAsia="zh-CN"/>
              </w:rPr>
            </w:pPr>
            <w:r>
              <w:rPr>
                <w:color w:val="auto"/>
              </w:rPr>
              <w:t>（1）项目名称：</w:t>
            </w:r>
            <w:r>
              <w:rPr>
                <w:rFonts w:hint="eastAsia"/>
                <w:color w:val="auto"/>
                <w:lang w:eastAsia="zh-CN"/>
              </w:rPr>
              <w:t>国道丹阿公路嘉荫（稻田村）至嘉逊界（双胜村）段改扩建工程项目A2标段沥青混凝土拌和站</w:t>
            </w:r>
          </w:p>
          <w:p>
            <w:pPr>
              <w:pStyle w:val="51"/>
              <w:ind w:firstLine="480"/>
              <w:rPr>
                <w:rFonts w:hint="eastAsia" w:eastAsia="宋体"/>
                <w:color w:val="auto"/>
                <w:lang w:eastAsia="zh-CN"/>
              </w:rPr>
            </w:pPr>
            <w:r>
              <w:rPr>
                <w:color w:val="auto"/>
              </w:rPr>
              <w:t>（2）建设单位：</w:t>
            </w:r>
            <w:r>
              <w:rPr>
                <w:rFonts w:hint="eastAsia"/>
                <w:color w:val="auto"/>
                <w:lang w:eastAsia="zh-CN"/>
              </w:rPr>
              <w:t>黑龙江省龙建路桥第二工程有限公司嘉荫分公司</w:t>
            </w:r>
          </w:p>
          <w:p>
            <w:pPr>
              <w:pStyle w:val="51"/>
              <w:ind w:firstLine="480"/>
              <w:rPr>
                <w:rFonts w:hint="eastAsia" w:eastAsia="宋体"/>
                <w:color w:val="auto"/>
                <w:lang w:val="en-US" w:eastAsia="zh-CN"/>
              </w:rPr>
            </w:pPr>
            <w:r>
              <w:rPr>
                <w:color w:val="auto"/>
              </w:rPr>
              <w:t>（3）建设性质和申报情形：</w:t>
            </w:r>
            <w:r>
              <w:rPr>
                <w:rFonts w:hint="eastAsia"/>
                <w:color w:val="auto"/>
                <w:lang w:val="en-US" w:eastAsia="zh-CN"/>
              </w:rPr>
              <w:t>新建</w:t>
            </w:r>
          </w:p>
          <w:p>
            <w:pPr>
              <w:pStyle w:val="51"/>
              <w:ind w:firstLine="480"/>
              <w:rPr>
                <w:rFonts w:hint="eastAsia" w:eastAsia="宋体"/>
                <w:color w:val="auto"/>
                <w:lang w:eastAsia="zh-CN"/>
              </w:rPr>
            </w:pPr>
            <w:r>
              <w:rPr>
                <w:color w:val="auto"/>
              </w:rPr>
              <w:t>（4）建设地点：</w:t>
            </w:r>
            <w:r>
              <w:rPr>
                <w:rFonts w:hint="eastAsia"/>
                <w:color w:val="auto"/>
                <w:lang w:eastAsia="zh-CN"/>
              </w:rPr>
              <w:t>黑龙江省伊春市嘉荫县跃进村</w:t>
            </w:r>
          </w:p>
          <w:p>
            <w:pPr>
              <w:pStyle w:val="51"/>
              <w:ind w:firstLine="480"/>
              <w:rPr>
                <w:color w:val="auto"/>
              </w:rPr>
            </w:pPr>
            <w:r>
              <w:rPr>
                <w:color w:val="auto"/>
              </w:rPr>
              <w:t>（5）劳动定员：劳动定员</w:t>
            </w:r>
            <w:r>
              <w:rPr>
                <w:rFonts w:hint="eastAsia"/>
                <w:color w:val="auto"/>
                <w:lang w:val="en-US" w:eastAsia="zh-CN"/>
              </w:rPr>
              <w:t>6</w:t>
            </w:r>
            <w:r>
              <w:rPr>
                <w:color w:val="auto"/>
              </w:rPr>
              <w:t>人</w:t>
            </w:r>
          </w:p>
          <w:p>
            <w:pPr>
              <w:pStyle w:val="51"/>
              <w:ind w:firstLine="480"/>
              <w:rPr>
                <w:color w:val="auto"/>
              </w:rPr>
            </w:pPr>
            <w:r>
              <w:rPr>
                <w:color w:val="auto"/>
              </w:rPr>
              <w:t>（6）建设投资：工程总投资</w:t>
            </w:r>
            <w:r>
              <w:rPr>
                <w:rFonts w:hint="eastAsia"/>
                <w:color w:val="auto"/>
                <w:lang w:val="en-US" w:eastAsia="zh-CN"/>
              </w:rPr>
              <w:t>500</w:t>
            </w:r>
            <w:r>
              <w:rPr>
                <w:color w:val="auto"/>
              </w:rPr>
              <w:t>万元，全部为企业自筹</w:t>
            </w:r>
          </w:p>
          <w:p>
            <w:pPr>
              <w:pStyle w:val="51"/>
              <w:ind w:firstLine="480"/>
              <w:rPr>
                <w:color w:val="auto"/>
              </w:rPr>
            </w:pPr>
            <w:r>
              <w:rPr>
                <w:color w:val="auto"/>
              </w:rPr>
              <w:t>（</w:t>
            </w:r>
            <w:r>
              <w:rPr>
                <w:rFonts w:hint="eastAsia"/>
                <w:color w:val="auto"/>
                <w:lang w:val="en-US" w:eastAsia="zh-CN"/>
              </w:rPr>
              <w:t>7</w:t>
            </w:r>
            <w:r>
              <w:rPr>
                <w:color w:val="auto"/>
              </w:rPr>
              <w:t>）建设内容：</w:t>
            </w:r>
            <w:r>
              <w:rPr>
                <w:rFonts w:hint="eastAsia"/>
                <w:color w:val="auto"/>
              </w:rPr>
              <w:t>本项目</w:t>
            </w:r>
            <w:r>
              <w:rPr>
                <w:rFonts w:hint="eastAsia"/>
                <w:color w:val="auto"/>
                <w:lang w:val="en-US" w:eastAsia="zh-CN"/>
              </w:rPr>
              <w:t>新建一条建设年生产16</w:t>
            </w:r>
            <w:r>
              <w:rPr>
                <w:rFonts w:hint="eastAsia"/>
                <w:color w:val="auto"/>
              </w:rPr>
              <w:t>万吨沥青混凝土生产线。</w:t>
            </w:r>
          </w:p>
          <w:p>
            <w:pPr>
              <w:pStyle w:val="51"/>
              <w:numPr>
                <w:ilvl w:val="0"/>
                <w:numId w:val="6"/>
              </w:numPr>
              <w:ind w:firstLine="482"/>
              <w:rPr>
                <w:b/>
                <w:bCs/>
                <w:color w:val="auto"/>
              </w:rPr>
            </w:pPr>
            <w:r>
              <w:rPr>
                <w:b/>
                <w:bCs/>
                <w:color w:val="auto"/>
              </w:rPr>
              <w:t>工程组成</w:t>
            </w:r>
          </w:p>
          <w:p>
            <w:pPr>
              <w:pStyle w:val="51"/>
              <w:ind w:firstLine="480"/>
              <w:rPr>
                <w:color w:val="auto"/>
              </w:rPr>
            </w:pPr>
            <w:r>
              <w:rPr>
                <w:color w:val="auto"/>
              </w:rPr>
              <w:t>本项目项目组成表详见下表。</w:t>
            </w:r>
          </w:p>
          <w:p>
            <w:pPr>
              <w:pStyle w:val="55"/>
              <w:numPr>
                <w:ilvl w:val="0"/>
                <w:numId w:val="0"/>
              </w:numPr>
              <w:rPr>
                <w:color w:val="auto"/>
              </w:rPr>
            </w:pPr>
            <w:r>
              <w:rPr>
                <w:rFonts w:ascii="宋体" w:hAnsi="宋体" w:cs="宋体"/>
                <w:color w:val="auto"/>
              </w:rPr>
              <w:t>表2-1</w:t>
            </w:r>
            <w:r>
              <w:rPr>
                <w:color w:val="auto"/>
              </w:rPr>
              <w:t xml:space="preserve"> </w:t>
            </w:r>
            <w:r>
              <w:rPr>
                <w:rFonts w:hint="eastAsia"/>
                <w:color w:val="auto"/>
              </w:rPr>
              <w:t xml:space="preserve"> </w:t>
            </w:r>
            <w:r>
              <w:rPr>
                <w:color w:val="auto"/>
              </w:rPr>
              <w:t>工程组成一览表</w:t>
            </w:r>
          </w:p>
          <w:tbl>
            <w:tblPr>
              <w:tblStyle w:val="30"/>
              <w:tblW w:w="785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638"/>
              <w:gridCol w:w="745"/>
              <w:gridCol w:w="959"/>
              <w:gridCol w:w="4531"/>
              <w:gridCol w:w="9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1383" w:type="dxa"/>
                  <w:gridSpan w:val="2"/>
                  <w:vAlign w:val="center"/>
                </w:tcPr>
                <w:p>
                  <w:pPr>
                    <w:pStyle w:val="18"/>
                    <w:adjustRightInd w:val="0"/>
                    <w:snapToGrid w:val="0"/>
                    <w:jc w:val="center"/>
                    <w:rPr>
                      <w:rFonts w:ascii="Times New Roman" w:hAnsi="Times New Roman"/>
                      <w:b/>
                      <w:color w:val="auto"/>
                      <w:sz w:val="21"/>
                    </w:rPr>
                  </w:pPr>
                  <w:r>
                    <w:rPr>
                      <w:rFonts w:ascii="Times New Roman" w:hAnsi="Times New Roman"/>
                      <w:b/>
                      <w:color w:val="auto"/>
                      <w:sz w:val="21"/>
                    </w:rPr>
                    <w:t>工程组成</w:t>
                  </w:r>
                </w:p>
              </w:tc>
              <w:tc>
                <w:tcPr>
                  <w:tcW w:w="5490" w:type="dxa"/>
                  <w:gridSpan w:val="2"/>
                  <w:vAlign w:val="center"/>
                </w:tcPr>
                <w:p>
                  <w:pPr>
                    <w:pStyle w:val="18"/>
                    <w:adjustRightInd w:val="0"/>
                    <w:snapToGrid w:val="0"/>
                    <w:jc w:val="center"/>
                    <w:rPr>
                      <w:rFonts w:ascii="Times New Roman" w:hAnsi="Times New Roman"/>
                      <w:b/>
                      <w:color w:val="auto"/>
                      <w:sz w:val="21"/>
                    </w:rPr>
                  </w:pPr>
                  <w:r>
                    <w:rPr>
                      <w:rFonts w:ascii="Times New Roman" w:hAnsi="Times New Roman"/>
                      <w:b/>
                      <w:color w:val="auto"/>
                      <w:sz w:val="21"/>
                    </w:rPr>
                    <w:t>主要建设内容</w:t>
                  </w:r>
                </w:p>
              </w:tc>
              <w:tc>
                <w:tcPr>
                  <w:tcW w:w="984" w:type="dxa"/>
                  <w:vAlign w:val="center"/>
                </w:tcPr>
                <w:p>
                  <w:pPr>
                    <w:pStyle w:val="18"/>
                    <w:adjustRightInd w:val="0"/>
                    <w:snapToGrid w:val="0"/>
                    <w:jc w:val="center"/>
                    <w:rPr>
                      <w:rFonts w:ascii="Times New Roman" w:hAnsi="Times New Roman"/>
                      <w:b/>
                      <w:color w:val="auto"/>
                      <w:sz w:val="21"/>
                    </w:rPr>
                  </w:pPr>
                  <w:r>
                    <w:rPr>
                      <w:rFonts w:ascii="Times New Roman" w:hAnsi="Times New Roman"/>
                      <w:b/>
                      <w:color w:val="auto"/>
                      <w:sz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Align w:val="center"/>
                </w:tcPr>
                <w:p>
                  <w:pPr>
                    <w:adjustRightInd w:val="0"/>
                    <w:snapToGrid w:val="0"/>
                    <w:jc w:val="center"/>
                    <w:rPr>
                      <w:color w:val="auto"/>
                      <w:sz w:val="21"/>
                      <w:szCs w:val="21"/>
                    </w:rPr>
                  </w:pPr>
                  <w:r>
                    <w:rPr>
                      <w:rFonts w:hint="eastAsia"/>
                      <w:color w:val="auto"/>
                      <w:sz w:val="21"/>
                      <w:szCs w:val="21"/>
                    </w:rPr>
                    <w:t>主体工程</w:t>
                  </w:r>
                </w:p>
              </w:tc>
              <w:tc>
                <w:tcPr>
                  <w:tcW w:w="745" w:type="dxa"/>
                  <w:vAlign w:val="center"/>
                </w:tcPr>
                <w:p>
                  <w:pPr>
                    <w:adjustRightInd w:val="0"/>
                    <w:snapToGrid w:val="0"/>
                    <w:jc w:val="center"/>
                    <w:rPr>
                      <w:color w:val="auto"/>
                      <w:sz w:val="21"/>
                      <w:szCs w:val="21"/>
                    </w:rPr>
                  </w:pPr>
                  <w:r>
                    <w:rPr>
                      <w:rFonts w:hint="eastAsia"/>
                      <w:color w:val="auto"/>
                      <w:sz w:val="21"/>
                      <w:szCs w:val="21"/>
                    </w:rPr>
                    <w:t>沥青站</w:t>
                  </w:r>
                </w:p>
              </w:tc>
              <w:tc>
                <w:tcPr>
                  <w:tcW w:w="5490" w:type="dxa"/>
                  <w:gridSpan w:val="2"/>
                  <w:vAlign w:val="center"/>
                </w:tcPr>
                <w:p>
                  <w:pPr>
                    <w:adjustRightInd w:val="0"/>
                    <w:snapToGrid w:val="0"/>
                    <w:ind w:firstLine="420" w:firstLineChars="200"/>
                    <w:rPr>
                      <w:color w:val="auto"/>
                      <w:sz w:val="21"/>
                      <w:szCs w:val="21"/>
                    </w:rPr>
                  </w:pPr>
                  <w:r>
                    <w:rPr>
                      <w:rFonts w:hint="eastAsia"/>
                      <w:color w:val="auto"/>
                      <w:sz w:val="21"/>
                      <w:szCs w:val="21"/>
                    </w:rPr>
                    <w:t>建设沥青混凝土生产线一条，年运行</w:t>
                  </w:r>
                  <w:r>
                    <w:rPr>
                      <w:rFonts w:hint="eastAsia"/>
                      <w:color w:val="auto"/>
                      <w:sz w:val="21"/>
                      <w:szCs w:val="21"/>
                      <w:lang w:val="en-US" w:eastAsia="zh-CN"/>
                    </w:rPr>
                    <w:t>90</w:t>
                  </w:r>
                  <w:r>
                    <w:rPr>
                      <w:rFonts w:hint="eastAsia"/>
                      <w:color w:val="auto"/>
                      <w:sz w:val="21"/>
                      <w:szCs w:val="21"/>
                    </w:rPr>
                    <w:t>天，每天运行</w:t>
                  </w:r>
                  <w:r>
                    <w:rPr>
                      <w:rFonts w:hint="eastAsia"/>
                      <w:color w:val="auto"/>
                      <w:sz w:val="21"/>
                      <w:szCs w:val="21"/>
                      <w:lang w:val="en-US" w:eastAsia="zh-CN"/>
                    </w:rPr>
                    <w:t>12</w:t>
                  </w:r>
                  <w:r>
                    <w:rPr>
                      <w:rFonts w:hint="eastAsia"/>
                      <w:color w:val="auto"/>
                      <w:sz w:val="21"/>
                      <w:szCs w:val="21"/>
                    </w:rPr>
                    <w:t>h（夜间不生产仅导热油炉运行，防止沥青冷却），年工作</w:t>
                  </w:r>
                  <w:r>
                    <w:rPr>
                      <w:rFonts w:hint="eastAsia"/>
                      <w:color w:val="auto"/>
                      <w:sz w:val="21"/>
                      <w:szCs w:val="21"/>
                      <w:lang w:val="en-US" w:eastAsia="zh-CN"/>
                    </w:rPr>
                    <w:t>1080</w:t>
                  </w:r>
                  <w:r>
                    <w:rPr>
                      <w:rFonts w:hint="eastAsia"/>
                      <w:color w:val="auto"/>
                      <w:sz w:val="21"/>
                      <w:szCs w:val="21"/>
                    </w:rPr>
                    <w:t>小时，建成后年生产沥青混凝土</w:t>
                  </w:r>
                  <w:r>
                    <w:rPr>
                      <w:rFonts w:hint="eastAsia"/>
                      <w:color w:val="auto"/>
                      <w:sz w:val="21"/>
                      <w:szCs w:val="21"/>
                      <w:lang w:val="en-US" w:eastAsia="zh-CN"/>
                    </w:rPr>
                    <w:t>16</w:t>
                  </w:r>
                  <w:r>
                    <w:rPr>
                      <w:rFonts w:hint="eastAsia"/>
                      <w:color w:val="auto"/>
                      <w:sz w:val="21"/>
                      <w:szCs w:val="21"/>
                    </w:rPr>
                    <w:t>万t，沥青混凝土成品直接外运，不在厂区内储存。</w:t>
                  </w:r>
                  <w:r>
                    <w:rPr>
                      <w:rFonts w:hint="eastAsia"/>
                      <w:color w:val="auto"/>
                      <w:sz w:val="21"/>
                      <w:szCs w:val="21"/>
                      <w:lang w:eastAsia="zh-CN"/>
                    </w:rPr>
                    <w:t>设拌和</w:t>
                  </w:r>
                  <w:r>
                    <w:rPr>
                      <w:rFonts w:hint="eastAsia"/>
                      <w:color w:val="auto"/>
                      <w:sz w:val="21"/>
                      <w:szCs w:val="21"/>
                    </w:rPr>
                    <w:t>装置，导热油炉，沥青罐、矿粉仓等生产设施均位于</w:t>
                  </w:r>
                  <w:r>
                    <w:rPr>
                      <w:rFonts w:hint="eastAsia"/>
                      <w:color w:val="auto"/>
                      <w:sz w:val="21"/>
                      <w:szCs w:val="21"/>
                      <w:lang w:eastAsia="zh-CN"/>
                    </w:rPr>
                    <w:t>拌和</w:t>
                  </w:r>
                  <w:r>
                    <w:rPr>
                      <w:rFonts w:hint="eastAsia"/>
                      <w:color w:val="auto"/>
                      <w:sz w:val="21"/>
                      <w:szCs w:val="21"/>
                    </w:rPr>
                    <w:t>楼旁，输送系统均为密闭。</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796" w:hRule="atLeast"/>
                <w:jc w:val="center"/>
              </w:trPr>
              <w:tc>
                <w:tcPr>
                  <w:tcW w:w="638"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辅助工程</w:t>
                  </w:r>
                </w:p>
              </w:tc>
              <w:tc>
                <w:tcPr>
                  <w:tcW w:w="745" w:type="dxa"/>
                  <w:shd w:val="clear" w:color="auto" w:fill="auto"/>
                  <w:vAlign w:val="center"/>
                </w:tcPr>
                <w:p>
                  <w:pPr>
                    <w:pStyle w:val="18"/>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rPr>
                    <w:t>锅炉</w:t>
                  </w:r>
                </w:p>
              </w:tc>
              <w:tc>
                <w:tcPr>
                  <w:tcW w:w="5490" w:type="dxa"/>
                  <w:gridSpan w:val="2"/>
                  <w:shd w:val="clear" w:color="auto" w:fill="auto"/>
                  <w:vAlign w:val="center"/>
                </w:tcPr>
                <w:p>
                  <w:pPr>
                    <w:adjustRightInd w:val="0"/>
                    <w:snapToGrid w:val="0"/>
                    <w:ind w:firstLine="420" w:firstLineChars="200"/>
                    <w:rPr>
                      <w:rFonts w:ascii="Times New Roman" w:hAnsi="Times New Roman" w:eastAsia="宋体" w:cs="Times New Roman"/>
                      <w:color w:val="auto"/>
                      <w:kern w:val="2"/>
                      <w:sz w:val="21"/>
                      <w:szCs w:val="21"/>
                      <w:lang w:val="en-US" w:eastAsia="zh-CN" w:bidi="ar-SA"/>
                    </w:rPr>
                  </w:pPr>
                  <w:r>
                    <w:rPr>
                      <w:rFonts w:hint="eastAsia"/>
                      <w:color w:val="auto"/>
                      <w:sz w:val="21"/>
                      <w:szCs w:val="21"/>
                    </w:rPr>
                    <w:t>设置一台</w:t>
                  </w:r>
                  <w:r>
                    <w:rPr>
                      <w:rFonts w:hint="eastAsia"/>
                      <w:color w:val="auto"/>
                      <w:sz w:val="21"/>
                      <w:szCs w:val="21"/>
                      <w:lang w:val="en-US" w:eastAsia="zh-CN"/>
                    </w:rPr>
                    <w:t>1.5MW</w:t>
                  </w:r>
                  <w:r>
                    <w:rPr>
                      <w:rFonts w:hint="eastAsia"/>
                      <w:color w:val="auto"/>
                      <w:sz w:val="21"/>
                      <w:szCs w:val="21"/>
                    </w:rPr>
                    <w:t>燃</w:t>
                  </w:r>
                  <w:r>
                    <w:rPr>
                      <w:rFonts w:hint="eastAsia"/>
                      <w:color w:val="auto"/>
                      <w:sz w:val="21"/>
                      <w:szCs w:val="21"/>
                      <w:lang w:val="en-US" w:eastAsia="zh-CN"/>
                    </w:rPr>
                    <w:t>天然</w:t>
                  </w:r>
                  <w:r>
                    <w:rPr>
                      <w:rFonts w:hint="eastAsia"/>
                      <w:color w:val="auto"/>
                      <w:sz w:val="21"/>
                      <w:szCs w:val="21"/>
                    </w:rPr>
                    <w:t>气导热油炉，年运行，</w:t>
                  </w:r>
                  <w:r>
                    <w:rPr>
                      <w:rFonts w:hint="eastAsia"/>
                      <w:color w:val="auto"/>
                      <w:sz w:val="21"/>
                      <w:szCs w:val="21"/>
                      <w:lang w:val="en-US" w:eastAsia="zh-CN"/>
                    </w:rPr>
                    <w:t>90</w:t>
                  </w:r>
                  <w:r>
                    <w:rPr>
                      <w:rFonts w:hint="eastAsia"/>
                      <w:color w:val="auto"/>
                      <w:sz w:val="21"/>
                      <w:szCs w:val="21"/>
                    </w:rPr>
                    <w:t>天，每天运行24小时，年工作</w:t>
                  </w:r>
                  <w:r>
                    <w:rPr>
                      <w:rFonts w:hint="eastAsia"/>
                      <w:color w:val="auto"/>
                      <w:sz w:val="21"/>
                      <w:szCs w:val="21"/>
                      <w:lang w:val="en-US" w:eastAsia="zh-CN"/>
                    </w:rPr>
                    <w:t>2160</w:t>
                  </w:r>
                  <w:r>
                    <w:rPr>
                      <w:rFonts w:hint="eastAsia"/>
                      <w:color w:val="auto"/>
                      <w:sz w:val="21"/>
                      <w:szCs w:val="21"/>
                    </w:rPr>
                    <w:t>小时（为了防止沥青凝固，沥青需要连续加热）。</w:t>
                  </w:r>
                </w:p>
              </w:tc>
              <w:tc>
                <w:tcPr>
                  <w:tcW w:w="984" w:type="dxa"/>
                  <w:shd w:val="clear" w:color="auto" w:fill="auto"/>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olor w:val="auto"/>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796" w:hRule="atLeast"/>
                <w:jc w:val="center"/>
              </w:trPr>
              <w:tc>
                <w:tcPr>
                  <w:tcW w:w="638" w:type="dxa"/>
                  <w:vMerge w:val="restart"/>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公用工程</w:t>
                  </w: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供水</w:t>
                  </w:r>
                </w:p>
              </w:tc>
              <w:tc>
                <w:tcPr>
                  <w:tcW w:w="5490" w:type="dxa"/>
                  <w:gridSpan w:val="2"/>
                  <w:shd w:val="clear" w:color="auto" w:fill="auto"/>
                  <w:vAlign w:val="center"/>
                </w:tcPr>
                <w:p>
                  <w:pPr>
                    <w:adjustRightInd w:val="0"/>
                    <w:snapToGrid w:val="0"/>
                    <w:ind w:firstLine="420" w:firstLineChars="200"/>
                    <w:rPr>
                      <w:color w:val="auto"/>
                      <w:sz w:val="21"/>
                      <w:szCs w:val="21"/>
                    </w:rPr>
                  </w:pPr>
                  <w:r>
                    <w:rPr>
                      <w:rFonts w:hint="eastAsia"/>
                      <w:color w:val="auto"/>
                      <w:sz w:val="21"/>
                      <w:szCs w:val="21"/>
                      <w:lang w:val="en-US" w:eastAsia="zh-CN"/>
                    </w:rPr>
                    <w:t>生活用水采用桶装水，生产用水为降尘用水，采用罐车拉运</w:t>
                  </w:r>
                  <w:r>
                    <w:rPr>
                      <w:color w:val="auto"/>
                      <w:sz w:val="21"/>
                      <w:szCs w:val="21"/>
                    </w:rPr>
                    <w:t>。</w:t>
                  </w:r>
                </w:p>
              </w:tc>
              <w:tc>
                <w:tcPr>
                  <w:tcW w:w="984" w:type="dxa"/>
                  <w:shd w:val="clear" w:color="auto" w:fill="auto"/>
                  <w:vAlign w:val="center"/>
                </w:tcPr>
                <w:p>
                  <w:pPr>
                    <w:adjustRightInd w:val="0"/>
                    <w:snapToGrid w:val="0"/>
                    <w:jc w:val="center"/>
                    <w:rPr>
                      <w:color w:val="auto"/>
                      <w:sz w:val="21"/>
                    </w:rPr>
                  </w:pPr>
                  <w:r>
                    <w:rPr>
                      <w:rFonts w:hint="eastAsia"/>
                      <w:color w:val="auto"/>
                      <w:sz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796"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排水</w:t>
                  </w:r>
                </w:p>
              </w:tc>
              <w:tc>
                <w:tcPr>
                  <w:tcW w:w="5490" w:type="dxa"/>
                  <w:gridSpan w:val="2"/>
                  <w:shd w:val="clear" w:color="auto" w:fill="auto"/>
                  <w:vAlign w:val="center"/>
                </w:tcPr>
                <w:p>
                  <w:pPr>
                    <w:adjustRightInd w:val="0"/>
                    <w:snapToGrid w:val="0"/>
                    <w:rPr>
                      <w:color w:val="auto"/>
                      <w:sz w:val="21"/>
                      <w:szCs w:val="21"/>
                    </w:rPr>
                  </w:pPr>
                  <w:r>
                    <w:rPr>
                      <w:rFonts w:hint="eastAsia"/>
                      <w:color w:val="auto"/>
                      <w:sz w:val="21"/>
                      <w:szCs w:val="21"/>
                    </w:rPr>
                    <w:t>本项目生产用水</w:t>
                  </w:r>
                  <w:r>
                    <w:rPr>
                      <w:rFonts w:hint="eastAsia"/>
                      <w:color w:val="auto"/>
                      <w:sz w:val="21"/>
                      <w:szCs w:val="21"/>
                      <w:lang w:val="en-US" w:eastAsia="zh-CN"/>
                    </w:rPr>
                    <w:t>为降尘用水</w:t>
                  </w:r>
                  <w:r>
                    <w:rPr>
                      <w:rFonts w:hint="eastAsia"/>
                      <w:color w:val="auto"/>
                      <w:sz w:val="21"/>
                      <w:szCs w:val="21"/>
                    </w:rPr>
                    <w:t>，无生产废水</w:t>
                  </w:r>
                  <w:r>
                    <w:rPr>
                      <w:rFonts w:hint="eastAsia"/>
                      <w:color w:val="auto"/>
                      <w:sz w:val="21"/>
                      <w:szCs w:val="21"/>
                      <w:lang w:val="en-US" w:eastAsia="zh-CN"/>
                    </w:rPr>
                    <w:t>排放</w:t>
                  </w:r>
                  <w:r>
                    <w:rPr>
                      <w:rFonts w:hint="eastAsia"/>
                      <w:color w:val="auto"/>
                      <w:sz w:val="21"/>
                      <w:szCs w:val="21"/>
                    </w:rPr>
                    <w:t>，生活污水排入防渗</w:t>
                  </w:r>
                  <w:r>
                    <w:rPr>
                      <w:rFonts w:hint="eastAsia"/>
                      <w:color w:val="auto"/>
                      <w:sz w:val="21"/>
                      <w:szCs w:val="21"/>
                      <w:lang w:val="en-US" w:eastAsia="zh-CN"/>
                    </w:rPr>
                    <w:t>旱厕</w:t>
                  </w:r>
                  <w:r>
                    <w:rPr>
                      <w:rFonts w:hint="eastAsia"/>
                      <w:color w:val="auto"/>
                      <w:sz w:val="21"/>
                      <w:szCs w:val="21"/>
                    </w:rPr>
                    <w:t>中，定期清掏外运堆肥利用，</w:t>
                  </w:r>
                </w:p>
              </w:tc>
              <w:tc>
                <w:tcPr>
                  <w:tcW w:w="984" w:type="dxa"/>
                  <w:shd w:val="clear" w:color="auto" w:fill="auto"/>
                  <w:vAlign w:val="center"/>
                </w:tcPr>
                <w:p>
                  <w:pPr>
                    <w:adjustRightInd w:val="0"/>
                    <w:snapToGrid w:val="0"/>
                    <w:jc w:val="center"/>
                    <w:rPr>
                      <w:color w:val="auto"/>
                      <w:sz w:val="21"/>
                    </w:rPr>
                  </w:pPr>
                  <w:r>
                    <w:rPr>
                      <w:rFonts w:hint="eastAsia"/>
                      <w:color w:val="auto"/>
                      <w:sz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796"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供暖及供汽</w:t>
                  </w:r>
                </w:p>
              </w:tc>
              <w:tc>
                <w:tcPr>
                  <w:tcW w:w="5490" w:type="dxa"/>
                  <w:gridSpan w:val="2"/>
                  <w:shd w:val="clear" w:color="auto" w:fill="auto"/>
                  <w:vAlign w:val="center"/>
                </w:tcPr>
                <w:p>
                  <w:pPr>
                    <w:adjustRightInd w:val="0"/>
                    <w:snapToGrid w:val="0"/>
                    <w:ind w:firstLine="420" w:firstLineChars="200"/>
                    <w:rPr>
                      <w:color w:val="auto"/>
                      <w:sz w:val="21"/>
                      <w:szCs w:val="21"/>
                    </w:rPr>
                  </w:pPr>
                  <w:r>
                    <w:rPr>
                      <w:rFonts w:hint="eastAsia"/>
                      <w:color w:val="auto"/>
                      <w:sz w:val="21"/>
                      <w:szCs w:val="21"/>
                    </w:rPr>
                    <w:t>本项目冬季不生产，厂区内无需供暖；本项目生产供热包括沥青加热和骨料加热，沥青加热使用1台</w:t>
                  </w:r>
                  <w:r>
                    <w:rPr>
                      <w:rFonts w:hint="eastAsia"/>
                      <w:color w:val="auto"/>
                      <w:sz w:val="21"/>
                      <w:szCs w:val="21"/>
                      <w:lang w:val="en-US" w:eastAsia="zh-CN"/>
                    </w:rPr>
                    <w:t>1.5MW</w:t>
                  </w:r>
                  <w:r>
                    <w:rPr>
                      <w:rFonts w:hint="eastAsia"/>
                      <w:color w:val="auto"/>
                      <w:sz w:val="21"/>
                      <w:szCs w:val="21"/>
                    </w:rPr>
                    <w:t>的燃</w:t>
                  </w:r>
                  <w:r>
                    <w:rPr>
                      <w:rFonts w:hint="eastAsia"/>
                      <w:color w:val="auto"/>
                      <w:sz w:val="21"/>
                      <w:szCs w:val="21"/>
                      <w:lang w:val="en-US" w:eastAsia="zh-CN"/>
                    </w:rPr>
                    <w:t>柴油</w:t>
                  </w:r>
                  <w:r>
                    <w:rPr>
                      <w:rFonts w:hint="eastAsia"/>
                      <w:color w:val="auto"/>
                      <w:sz w:val="21"/>
                      <w:szCs w:val="21"/>
                    </w:rPr>
                    <w:t>导热油炉将沥青加热至150~180℃，骨料加热燃烧器采用</w:t>
                  </w:r>
                  <w:r>
                    <w:rPr>
                      <w:rFonts w:hint="eastAsia"/>
                      <w:color w:val="auto"/>
                      <w:sz w:val="21"/>
                      <w:szCs w:val="21"/>
                      <w:lang w:val="en-US" w:eastAsia="zh-CN"/>
                    </w:rPr>
                    <w:t>柴油</w:t>
                  </w:r>
                  <w:r>
                    <w:rPr>
                      <w:rFonts w:hint="eastAsia"/>
                      <w:color w:val="auto"/>
                      <w:sz w:val="21"/>
                      <w:szCs w:val="21"/>
                    </w:rPr>
                    <w:t>为燃料。</w:t>
                  </w:r>
                </w:p>
              </w:tc>
              <w:tc>
                <w:tcPr>
                  <w:tcW w:w="984" w:type="dxa"/>
                  <w:shd w:val="clear" w:color="auto" w:fill="auto"/>
                  <w:vAlign w:val="center"/>
                </w:tcPr>
                <w:p>
                  <w:pPr>
                    <w:adjustRightInd w:val="0"/>
                    <w:snapToGrid w:val="0"/>
                    <w:jc w:val="center"/>
                    <w:rPr>
                      <w:color w:val="auto"/>
                      <w:sz w:val="21"/>
                    </w:rPr>
                  </w:pPr>
                  <w:r>
                    <w:rPr>
                      <w:rFonts w:hint="eastAsia"/>
                      <w:color w:val="auto"/>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796"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供电</w:t>
                  </w:r>
                </w:p>
              </w:tc>
              <w:tc>
                <w:tcPr>
                  <w:tcW w:w="5490" w:type="dxa"/>
                  <w:gridSpan w:val="2"/>
                  <w:shd w:val="clear" w:color="auto" w:fill="auto"/>
                  <w:vAlign w:val="center"/>
                </w:tcPr>
                <w:p>
                  <w:pPr>
                    <w:adjustRightInd w:val="0"/>
                    <w:snapToGrid w:val="0"/>
                    <w:ind w:firstLine="420" w:firstLineChars="200"/>
                    <w:rPr>
                      <w:color w:val="auto"/>
                      <w:sz w:val="21"/>
                      <w:szCs w:val="21"/>
                    </w:rPr>
                  </w:pPr>
                  <w:r>
                    <w:rPr>
                      <w:rFonts w:hint="eastAsia"/>
                      <w:color w:val="auto"/>
                      <w:sz w:val="21"/>
                      <w:szCs w:val="21"/>
                    </w:rPr>
                    <w:t>由供电局供电</w:t>
                  </w:r>
                </w:p>
              </w:tc>
              <w:tc>
                <w:tcPr>
                  <w:tcW w:w="984" w:type="dxa"/>
                  <w:shd w:val="clear" w:color="auto" w:fill="auto"/>
                  <w:vAlign w:val="center"/>
                </w:tcPr>
                <w:p>
                  <w:pPr>
                    <w:adjustRightInd w:val="0"/>
                    <w:snapToGrid w:val="0"/>
                    <w:jc w:val="center"/>
                    <w:rPr>
                      <w:color w:val="auto"/>
                      <w:sz w:val="21"/>
                    </w:rPr>
                  </w:pPr>
                  <w:r>
                    <w:rPr>
                      <w:rFonts w:hint="eastAsia"/>
                      <w:color w:val="auto"/>
                      <w:sz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796" w:hRule="atLeast"/>
                <w:jc w:val="center"/>
              </w:trPr>
              <w:tc>
                <w:tcPr>
                  <w:tcW w:w="638" w:type="dxa"/>
                  <w:vMerge w:val="restart"/>
                  <w:vAlign w:val="center"/>
                </w:tcPr>
                <w:p>
                  <w:pPr>
                    <w:pStyle w:val="18"/>
                    <w:adjustRightInd w:val="0"/>
                    <w:snapToGrid w:val="0"/>
                    <w:jc w:val="center"/>
                    <w:rPr>
                      <w:rFonts w:ascii="Times New Roman" w:hAnsi="Times New Roman"/>
                      <w:color w:val="auto"/>
                      <w:sz w:val="21"/>
                    </w:rPr>
                  </w:pPr>
                  <w:r>
                    <w:rPr>
                      <w:rFonts w:ascii="Times New Roman" w:hAnsi="Times New Roman"/>
                      <w:color w:val="auto"/>
                      <w:sz w:val="21"/>
                    </w:rPr>
                    <w:t>储运工程</w:t>
                  </w: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料仓1</w:t>
                  </w:r>
                </w:p>
              </w:tc>
              <w:tc>
                <w:tcPr>
                  <w:tcW w:w="5490" w:type="dxa"/>
                  <w:gridSpan w:val="2"/>
                  <w:shd w:val="clear" w:color="auto" w:fill="auto"/>
                  <w:vAlign w:val="center"/>
                </w:tcPr>
                <w:p>
                  <w:pPr>
                    <w:adjustRightInd w:val="0"/>
                    <w:snapToGrid w:val="0"/>
                    <w:ind w:firstLine="420" w:firstLineChars="200"/>
                    <w:rPr>
                      <w:color w:val="auto"/>
                      <w:sz w:val="21"/>
                      <w:szCs w:val="21"/>
                    </w:rPr>
                  </w:pPr>
                  <w:r>
                    <w:rPr>
                      <w:rFonts w:hint="eastAsia"/>
                      <w:color w:val="auto"/>
                      <w:sz w:val="21"/>
                      <w:szCs w:val="21"/>
                    </w:rPr>
                    <w:t>用于存放</w:t>
                  </w:r>
                  <w:r>
                    <w:rPr>
                      <w:rFonts w:hint="eastAsia"/>
                      <w:color w:val="auto"/>
                      <w:sz w:val="21"/>
                      <w:szCs w:val="21"/>
                      <w:lang w:val="en-US" w:eastAsia="zh-CN"/>
                    </w:rPr>
                    <w:t>0.3-0.6cm碎石</w:t>
                  </w:r>
                  <w:r>
                    <w:rPr>
                      <w:rFonts w:hint="eastAsia"/>
                      <w:color w:val="auto"/>
                      <w:sz w:val="21"/>
                      <w:szCs w:val="21"/>
                    </w:rPr>
                    <w:t>，位于厂区</w:t>
                  </w:r>
                  <w:r>
                    <w:rPr>
                      <w:rFonts w:hint="eastAsia"/>
                      <w:color w:val="auto"/>
                      <w:sz w:val="21"/>
                      <w:szCs w:val="21"/>
                      <w:lang w:val="en-US" w:eastAsia="zh-CN"/>
                    </w:rPr>
                    <w:t>西</w:t>
                  </w:r>
                  <w:r>
                    <w:rPr>
                      <w:rFonts w:hint="eastAsia"/>
                      <w:color w:val="auto"/>
                      <w:sz w:val="21"/>
                      <w:szCs w:val="21"/>
                    </w:rPr>
                    <w:t>侧，全封闭</w:t>
                  </w:r>
                  <w:r>
                    <w:rPr>
                      <w:rFonts w:hint="eastAsia"/>
                      <w:color w:val="auto"/>
                      <w:sz w:val="21"/>
                      <w:szCs w:val="21"/>
                      <w:lang w:val="en-US" w:eastAsia="zh-CN"/>
                    </w:rPr>
                    <w:t>结构</w:t>
                  </w:r>
                  <w:r>
                    <w:rPr>
                      <w:rFonts w:hint="eastAsia"/>
                      <w:color w:val="auto"/>
                      <w:sz w:val="21"/>
                      <w:szCs w:val="21"/>
                    </w:rPr>
                    <w:t>，高1</w:t>
                  </w:r>
                  <w:r>
                    <w:rPr>
                      <w:rFonts w:hint="eastAsia"/>
                      <w:color w:val="auto"/>
                      <w:sz w:val="21"/>
                      <w:szCs w:val="21"/>
                      <w:lang w:val="en-US" w:eastAsia="zh-CN"/>
                    </w:rPr>
                    <w:t>0</w:t>
                  </w:r>
                  <w:r>
                    <w:rPr>
                      <w:rFonts w:hint="eastAsia"/>
                      <w:color w:val="auto"/>
                      <w:sz w:val="21"/>
                      <w:szCs w:val="21"/>
                    </w:rPr>
                    <w:t>m，占地面积约为</w:t>
                  </w:r>
                  <w:r>
                    <w:rPr>
                      <w:rFonts w:hint="eastAsia"/>
                      <w:color w:val="auto"/>
                      <w:sz w:val="21"/>
                      <w:szCs w:val="21"/>
                      <w:lang w:val="en-US" w:eastAsia="zh-CN"/>
                    </w:rPr>
                    <w:t>4600</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rPr>
                    <w:t>用于存放原料，采用洒水降尘。最大可堆放原料</w:t>
                  </w:r>
                  <w:r>
                    <w:rPr>
                      <w:rFonts w:hint="eastAsia"/>
                      <w:color w:val="auto"/>
                      <w:sz w:val="21"/>
                      <w:szCs w:val="21"/>
                      <w:lang w:val="en-US" w:eastAsia="zh-CN"/>
                    </w:rPr>
                    <w:t>11500m</w:t>
                  </w:r>
                  <w:r>
                    <w:rPr>
                      <w:rFonts w:hint="eastAsia"/>
                      <w:color w:val="auto"/>
                      <w:sz w:val="21"/>
                      <w:szCs w:val="21"/>
                      <w:vertAlign w:val="superscript"/>
                      <w:lang w:val="en-US" w:eastAsia="zh-CN"/>
                    </w:rPr>
                    <w:t>3</w:t>
                  </w:r>
                  <w:r>
                    <w:rPr>
                      <w:rFonts w:hint="eastAsia"/>
                      <w:color w:val="auto"/>
                      <w:sz w:val="21"/>
                      <w:szCs w:val="21"/>
                    </w:rPr>
                    <w:t>。</w:t>
                  </w:r>
                </w:p>
              </w:tc>
              <w:tc>
                <w:tcPr>
                  <w:tcW w:w="984" w:type="dxa"/>
                  <w:shd w:val="clear" w:color="auto" w:fill="auto"/>
                  <w:vAlign w:val="center"/>
                </w:tcPr>
                <w:p>
                  <w:pPr>
                    <w:adjustRightInd w:val="0"/>
                    <w:snapToGrid w:val="0"/>
                    <w:jc w:val="center"/>
                    <w:rPr>
                      <w:rFonts w:hint="default" w:eastAsia="宋体"/>
                      <w:color w:val="auto"/>
                      <w:sz w:val="21"/>
                      <w:lang w:val="en-US" w:eastAsia="zh-CN"/>
                    </w:rPr>
                  </w:pPr>
                  <w:r>
                    <w:rPr>
                      <w:rFonts w:hint="eastAsia"/>
                      <w:color w:val="auto"/>
                      <w:sz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809"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料仓2</w:t>
                  </w:r>
                </w:p>
              </w:tc>
              <w:tc>
                <w:tcPr>
                  <w:tcW w:w="5490" w:type="dxa"/>
                  <w:gridSpan w:val="2"/>
                  <w:shd w:val="clear" w:color="auto" w:fill="auto"/>
                  <w:vAlign w:val="center"/>
                </w:tcPr>
                <w:p>
                  <w:pPr>
                    <w:adjustRightInd w:val="0"/>
                    <w:snapToGrid w:val="0"/>
                    <w:ind w:firstLine="420" w:firstLineChars="200"/>
                    <w:rPr>
                      <w:color w:val="auto"/>
                      <w:sz w:val="21"/>
                      <w:szCs w:val="21"/>
                    </w:rPr>
                  </w:pPr>
                  <w:r>
                    <w:rPr>
                      <w:rFonts w:hint="eastAsia"/>
                      <w:color w:val="auto"/>
                      <w:sz w:val="21"/>
                      <w:szCs w:val="21"/>
                    </w:rPr>
                    <w:t>用于存放</w:t>
                  </w:r>
                  <w:r>
                    <w:rPr>
                      <w:rFonts w:hint="eastAsia"/>
                      <w:color w:val="auto"/>
                      <w:sz w:val="21"/>
                      <w:szCs w:val="21"/>
                      <w:lang w:val="en-US" w:eastAsia="zh-CN"/>
                    </w:rPr>
                    <w:t>2-3cm碎石</w:t>
                  </w:r>
                  <w:r>
                    <w:rPr>
                      <w:rFonts w:hint="eastAsia"/>
                      <w:color w:val="auto"/>
                      <w:sz w:val="21"/>
                      <w:szCs w:val="21"/>
                    </w:rPr>
                    <w:t>，位于厂区</w:t>
                  </w:r>
                  <w:r>
                    <w:rPr>
                      <w:rFonts w:hint="eastAsia"/>
                      <w:color w:val="auto"/>
                      <w:sz w:val="21"/>
                      <w:szCs w:val="21"/>
                      <w:lang w:val="en-US" w:eastAsia="zh-CN"/>
                    </w:rPr>
                    <w:t>西</w:t>
                  </w:r>
                  <w:r>
                    <w:rPr>
                      <w:rFonts w:hint="eastAsia"/>
                      <w:color w:val="auto"/>
                      <w:sz w:val="21"/>
                      <w:szCs w:val="21"/>
                    </w:rPr>
                    <w:t>南侧，全封闭</w:t>
                  </w:r>
                  <w:r>
                    <w:rPr>
                      <w:rFonts w:hint="eastAsia"/>
                      <w:color w:val="auto"/>
                      <w:sz w:val="21"/>
                      <w:szCs w:val="21"/>
                      <w:lang w:val="en-US" w:eastAsia="zh-CN"/>
                    </w:rPr>
                    <w:t>结构</w:t>
                  </w:r>
                  <w:r>
                    <w:rPr>
                      <w:rFonts w:hint="eastAsia"/>
                      <w:color w:val="auto"/>
                      <w:sz w:val="21"/>
                      <w:szCs w:val="21"/>
                    </w:rPr>
                    <w:t>，高1</w:t>
                  </w:r>
                  <w:r>
                    <w:rPr>
                      <w:rFonts w:hint="eastAsia"/>
                      <w:color w:val="auto"/>
                      <w:sz w:val="21"/>
                      <w:szCs w:val="21"/>
                      <w:lang w:val="en-US" w:eastAsia="zh-CN"/>
                    </w:rPr>
                    <w:t>0</w:t>
                  </w:r>
                  <w:r>
                    <w:rPr>
                      <w:rFonts w:hint="eastAsia"/>
                      <w:color w:val="auto"/>
                      <w:sz w:val="21"/>
                      <w:szCs w:val="21"/>
                    </w:rPr>
                    <w:t>m，占地面积约为</w:t>
                  </w:r>
                  <w:r>
                    <w:rPr>
                      <w:rFonts w:hint="eastAsia"/>
                      <w:color w:val="auto"/>
                      <w:sz w:val="21"/>
                      <w:szCs w:val="21"/>
                      <w:lang w:val="en-US" w:eastAsia="zh-CN"/>
                    </w:rPr>
                    <w:t>4640</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rPr>
                    <w:t>用于存放原料，采用洒水降尘。最大可堆放原料</w:t>
                  </w:r>
                  <w:r>
                    <w:rPr>
                      <w:rFonts w:hint="eastAsia"/>
                      <w:color w:val="auto"/>
                      <w:sz w:val="21"/>
                      <w:szCs w:val="21"/>
                      <w:lang w:val="en-US" w:eastAsia="zh-CN"/>
                    </w:rPr>
                    <w:t>11600m</w:t>
                  </w:r>
                  <w:r>
                    <w:rPr>
                      <w:rFonts w:hint="eastAsia"/>
                      <w:color w:val="auto"/>
                      <w:sz w:val="21"/>
                      <w:szCs w:val="21"/>
                      <w:vertAlign w:val="superscript"/>
                      <w:lang w:val="en-US" w:eastAsia="zh-CN"/>
                    </w:rPr>
                    <w:t>3</w:t>
                  </w:r>
                  <w:r>
                    <w:rPr>
                      <w:rFonts w:hint="eastAsia"/>
                      <w:color w:val="auto"/>
                      <w:sz w:val="21"/>
                      <w:szCs w:val="21"/>
                    </w:rPr>
                    <w:t>。</w:t>
                  </w:r>
                </w:p>
              </w:tc>
              <w:tc>
                <w:tcPr>
                  <w:tcW w:w="984" w:type="dxa"/>
                  <w:shd w:val="clear" w:color="auto" w:fill="auto"/>
                  <w:vAlign w:val="center"/>
                </w:tcPr>
                <w:p>
                  <w:pPr>
                    <w:adjustRightInd w:val="0"/>
                    <w:snapToGrid w:val="0"/>
                    <w:jc w:val="center"/>
                    <w:rPr>
                      <w:color w:val="auto"/>
                      <w:sz w:val="21"/>
                    </w:rPr>
                  </w:pPr>
                  <w:r>
                    <w:rPr>
                      <w:rFonts w:hint="eastAsia"/>
                      <w:color w:val="auto"/>
                      <w:sz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料仓3</w:t>
                  </w:r>
                </w:p>
              </w:tc>
              <w:tc>
                <w:tcPr>
                  <w:tcW w:w="5490" w:type="dxa"/>
                  <w:gridSpan w:val="2"/>
                  <w:vAlign w:val="center"/>
                </w:tcPr>
                <w:p>
                  <w:pPr>
                    <w:adjustRightInd w:val="0"/>
                    <w:snapToGrid w:val="0"/>
                    <w:ind w:firstLine="420" w:firstLineChars="200"/>
                    <w:rPr>
                      <w:color w:val="auto"/>
                      <w:sz w:val="21"/>
                      <w:szCs w:val="21"/>
                    </w:rPr>
                  </w:pPr>
                  <w:r>
                    <w:rPr>
                      <w:rFonts w:hint="eastAsia"/>
                      <w:color w:val="auto"/>
                      <w:sz w:val="21"/>
                      <w:szCs w:val="21"/>
                    </w:rPr>
                    <w:t>用于存放</w:t>
                  </w:r>
                  <w:r>
                    <w:rPr>
                      <w:rFonts w:hint="eastAsia"/>
                      <w:color w:val="auto"/>
                      <w:sz w:val="21"/>
                      <w:szCs w:val="21"/>
                      <w:lang w:val="en-US" w:eastAsia="zh-CN"/>
                    </w:rPr>
                    <w:t>0.5-1cm碎石</w:t>
                  </w:r>
                  <w:r>
                    <w:rPr>
                      <w:rFonts w:hint="eastAsia"/>
                      <w:color w:val="auto"/>
                      <w:sz w:val="21"/>
                      <w:szCs w:val="21"/>
                    </w:rPr>
                    <w:t>，位于厂区</w:t>
                  </w:r>
                  <w:r>
                    <w:rPr>
                      <w:rFonts w:hint="eastAsia"/>
                      <w:color w:val="auto"/>
                      <w:sz w:val="21"/>
                      <w:szCs w:val="21"/>
                      <w:lang w:val="en-US" w:eastAsia="zh-CN"/>
                    </w:rPr>
                    <w:t>西</w:t>
                  </w:r>
                  <w:r>
                    <w:rPr>
                      <w:rFonts w:hint="eastAsia"/>
                      <w:color w:val="auto"/>
                      <w:sz w:val="21"/>
                      <w:szCs w:val="21"/>
                    </w:rPr>
                    <w:t>南侧，全封闭</w:t>
                  </w:r>
                  <w:r>
                    <w:rPr>
                      <w:rFonts w:hint="eastAsia"/>
                      <w:color w:val="auto"/>
                      <w:sz w:val="21"/>
                      <w:szCs w:val="21"/>
                      <w:lang w:val="en-US" w:eastAsia="zh-CN"/>
                    </w:rPr>
                    <w:t>结构</w:t>
                  </w:r>
                  <w:r>
                    <w:rPr>
                      <w:rFonts w:hint="eastAsia"/>
                      <w:color w:val="auto"/>
                      <w:sz w:val="21"/>
                      <w:szCs w:val="21"/>
                    </w:rPr>
                    <w:t>，高1</w:t>
                  </w:r>
                  <w:r>
                    <w:rPr>
                      <w:rFonts w:hint="eastAsia"/>
                      <w:color w:val="auto"/>
                      <w:sz w:val="21"/>
                      <w:szCs w:val="21"/>
                      <w:lang w:val="en-US" w:eastAsia="zh-CN"/>
                    </w:rPr>
                    <w:t>0</w:t>
                  </w:r>
                  <w:r>
                    <w:rPr>
                      <w:rFonts w:hint="eastAsia"/>
                      <w:color w:val="auto"/>
                      <w:sz w:val="21"/>
                      <w:szCs w:val="21"/>
                    </w:rPr>
                    <w:t>m，占地面积约为</w:t>
                  </w:r>
                  <w:r>
                    <w:rPr>
                      <w:rFonts w:hint="eastAsia"/>
                      <w:color w:val="auto"/>
                      <w:sz w:val="21"/>
                      <w:szCs w:val="21"/>
                      <w:lang w:val="en-US" w:eastAsia="zh-CN"/>
                    </w:rPr>
                    <w:t>6200</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rPr>
                    <w:t>用于存放原料，采用洒水降尘。最大可堆放原料</w:t>
                  </w:r>
                  <w:r>
                    <w:rPr>
                      <w:rFonts w:hint="eastAsia"/>
                      <w:color w:val="auto"/>
                      <w:sz w:val="21"/>
                      <w:szCs w:val="21"/>
                      <w:lang w:val="en-US" w:eastAsia="zh-CN"/>
                    </w:rPr>
                    <w:t>15500m</w:t>
                  </w:r>
                  <w:r>
                    <w:rPr>
                      <w:rFonts w:hint="eastAsia"/>
                      <w:color w:val="auto"/>
                      <w:sz w:val="21"/>
                      <w:szCs w:val="21"/>
                      <w:vertAlign w:val="superscript"/>
                      <w:lang w:val="en-US" w:eastAsia="zh-CN"/>
                    </w:rPr>
                    <w:t>3</w:t>
                  </w:r>
                  <w:r>
                    <w:rPr>
                      <w:rFonts w:hint="eastAsia"/>
                      <w:color w:val="auto"/>
                      <w:sz w:val="21"/>
                      <w:szCs w:val="21"/>
                    </w:rPr>
                    <w:t>。</w:t>
                  </w:r>
                </w:p>
              </w:tc>
              <w:tc>
                <w:tcPr>
                  <w:tcW w:w="984" w:type="dxa"/>
                  <w:vAlign w:val="center"/>
                </w:tcPr>
                <w:p>
                  <w:pPr>
                    <w:adjustRightInd w:val="0"/>
                    <w:snapToGrid w:val="0"/>
                    <w:jc w:val="center"/>
                    <w:rPr>
                      <w:color w:val="auto"/>
                      <w:sz w:val="21"/>
                    </w:rPr>
                  </w:pPr>
                  <w:r>
                    <w:rPr>
                      <w:rFonts w:hint="eastAsia"/>
                      <w:color w:val="auto"/>
                      <w:sz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料仓4</w:t>
                  </w:r>
                </w:p>
              </w:tc>
              <w:tc>
                <w:tcPr>
                  <w:tcW w:w="5490" w:type="dxa"/>
                  <w:gridSpan w:val="2"/>
                  <w:vAlign w:val="center"/>
                </w:tcPr>
                <w:p>
                  <w:pPr>
                    <w:adjustRightInd w:val="0"/>
                    <w:snapToGrid w:val="0"/>
                    <w:ind w:firstLine="420" w:firstLineChars="200"/>
                    <w:rPr>
                      <w:color w:val="auto"/>
                      <w:sz w:val="21"/>
                      <w:szCs w:val="21"/>
                    </w:rPr>
                  </w:pPr>
                  <w:r>
                    <w:rPr>
                      <w:rFonts w:hint="eastAsia"/>
                      <w:color w:val="auto"/>
                      <w:sz w:val="21"/>
                      <w:szCs w:val="21"/>
                    </w:rPr>
                    <w:t>用于存放</w:t>
                  </w:r>
                  <w:r>
                    <w:rPr>
                      <w:rFonts w:hint="eastAsia"/>
                      <w:color w:val="auto"/>
                      <w:sz w:val="21"/>
                      <w:szCs w:val="21"/>
                      <w:lang w:val="en-US" w:eastAsia="zh-CN"/>
                    </w:rPr>
                    <w:t>机制砂</w:t>
                  </w:r>
                  <w:r>
                    <w:rPr>
                      <w:rFonts w:hint="eastAsia"/>
                      <w:color w:val="auto"/>
                      <w:sz w:val="21"/>
                      <w:szCs w:val="21"/>
                    </w:rPr>
                    <w:t>，位于厂区南侧，全封闭</w:t>
                  </w:r>
                  <w:r>
                    <w:rPr>
                      <w:rFonts w:hint="eastAsia"/>
                      <w:color w:val="auto"/>
                      <w:sz w:val="21"/>
                      <w:szCs w:val="21"/>
                      <w:lang w:val="en-US" w:eastAsia="zh-CN"/>
                    </w:rPr>
                    <w:t>结构</w:t>
                  </w:r>
                  <w:r>
                    <w:rPr>
                      <w:rFonts w:hint="eastAsia"/>
                      <w:color w:val="auto"/>
                      <w:sz w:val="21"/>
                      <w:szCs w:val="21"/>
                    </w:rPr>
                    <w:t>，高1</w:t>
                  </w:r>
                  <w:r>
                    <w:rPr>
                      <w:rFonts w:hint="eastAsia"/>
                      <w:color w:val="auto"/>
                      <w:sz w:val="21"/>
                      <w:szCs w:val="21"/>
                      <w:lang w:val="en-US" w:eastAsia="zh-CN"/>
                    </w:rPr>
                    <w:t>0</w:t>
                  </w:r>
                  <w:r>
                    <w:rPr>
                      <w:rFonts w:hint="eastAsia"/>
                      <w:color w:val="auto"/>
                      <w:sz w:val="21"/>
                      <w:szCs w:val="21"/>
                    </w:rPr>
                    <w:t>m，占地面积约为</w:t>
                  </w:r>
                  <w:r>
                    <w:rPr>
                      <w:rFonts w:hint="eastAsia"/>
                      <w:color w:val="auto"/>
                      <w:sz w:val="21"/>
                      <w:szCs w:val="21"/>
                      <w:lang w:val="en-US" w:eastAsia="zh-CN"/>
                    </w:rPr>
                    <w:t>6200</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rPr>
                    <w:t>用于存放原料，采用洒水降尘。最大可堆放原料</w:t>
                  </w:r>
                  <w:r>
                    <w:rPr>
                      <w:rFonts w:hint="eastAsia"/>
                      <w:color w:val="auto"/>
                      <w:sz w:val="21"/>
                      <w:szCs w:val="21"/>
                      <w:lang w:val="en-US" w:eastAsia="zh-CN"/>
                    </w:rPr>
                    <w:t>15500m</w:t>
                  </w:r>
                  <w:r>
                    <w:rPr>
                      <w:rFonts w:hint="eastAsia"/>
                      <w:color w:val="auto"/>
                      <w:sz w:val="21"/>
                      <w:szCs w:val="21"/>
                      <w:vertAlign w:val="superscript"/>
                      <w:lang w:val="en-US" w:eastAsia="zh-CN"/>
                    </w:rPr>
                    <w:t>3</w:t>
                  </w:r>
                  <w:r>
                    <w:rPr>
                      <w:rFonts w:hint="eastAsia"/>
                      <w:color w:val="auto"/>
                      <w:sz w:val="21"/>
                      <w:szCs w:val="21"/>
                    </w:rPr>
                    <w:t>。</w:t>
                  </w:r>
                </w:p>
              </w:tc>
              <w:tc>
                <w:tcPr>
                  <w:tcW w:w="984" w:type="dxa"/>
                  <w:vAlign w:val="center"/>
                </w:tcPr>
                <w:p>
                  <w:pPr>
                    <w:adjustRightInd w:val="0"/>
                    <w:snapToGrid w:val="0"/>
                    <w:jc w:val="center"/>
                    <w:rPr>
                      <w:color w:val="auto"/>
                      <w:sz w:val="21"/>
                    </w:rPr>
                  </w:pPr>
                  <w:r>
                    <w:rPr>
                      <w:rFonts w:hint="eastAsia"/>
                      <w:color w:val="auto"/>
                      <w:sz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hint="eastAsia" w:ascii="Times New Roman" w:hAnsi="Times New Roman"/>
                      <w:color w:val="auto"/>
                      <w:sz w:val="21"/>
                    </w:rPr>
                  </w:pPr>
                  <w:r>
                    <w:rPr>
                      <w:rFonts w:hint="eastAsia" w:ascii="Times New Roman" w:hAnsi="Times New Roman"/>
                      <w:color w:val="auto"/>
                      <w:sz w:val="21"/>
                      <w:lang w:val="en-US" w:eastAsia="zh-CN"/>
                    </w:rPr>
                    <w:t>热储仓</w:t>
                  </w:r>
                </w:p>
              </w:tc>
              <w:tc>
                <w:tcPr>
                  <w:tcW w:w="5490" w:type="dxa"/>
                  <w:gridSpan w:val="2"/>
                  <w:vAlign w:val="center"/>
                </w:tcPr>
                <w:p>
                  <w:pPr>
                    <w:adjustRightInd w:val="0"/>
                    <w:snapToGrid w:val="0"/>
                    <w:ind w:firstLine="420" w:firstLineChars="200"/>
                    <w:rPr>
                      <w:rFonts w:hint="eastAsia"/>
                      <w:color w:val="auto"/>
                      <w:sz w:val="21"/>
                      <w:szCs w:val="21"/>
                    </w:rPr>
                  </w:pPr>
                  <w:r>
                    <w:rPr>
                      <w:rFonts w:hint="eastAsia"/>
                      <w:color w:val="auto"/>
                      <w:sz w:val="21"/>
                      <w:szCs w:val="21"/>
                      <w:lang w:val="en-US" w:eastAsia="zh-CN"/>
                    </w:rPr>
                    <w:t>用于存放加热后的骨料，</w:t>
                  </w:r>
                  <w:r>
                    <w:rPr>
                      <w:rFonts w:hint="eastAsia"/>
                      <w:color w:val="auto"/>
                      <w:sz w:val="21"/>
                      <w:szCs w:val="21"/>
                    </w:rPr>
                    <w:t>全封闭</w:t>
                  </w:r>
                  <w:r>
                    <w:rPr>
                      <w:rFonts w:hint="eastAsia"/>
                      <w:color w:val="auto"/>
                      <w:sz w:val="21"/>
                      <w:szCs w:val="21"/>
                      <w:lang w:val="en-US" w:eastAsia="zh-CN"/>
                    </w:rPr>
                    <w:t>结构</w:t>
                  </w:r>
                  <w:r>
                    <w:rPr>
                      <w:rFonts w:hint="eastAsia"/>
                      <w:color w:val="auto"/>
                      <w:sz w:val="21"/>
                      <w:szCs w:val="21"/>
                    </w:rPr>
                    <w:t>，高1</w:t>
                  </w:r>
                  <w:r>
                    <w:rPr>
                      <w:rFonts w:hint="eastAsia"/>
                      <w:color w:val="auto"/>
                      <w:sz w:val="21"/>
                      <w:szCs w:val="21"/>
                      <w:lang w:val="en-US" w:eastAsia="zh-CN"/>
                    </w:rPr>
                    <w:t>5</w:t>
                  </w:r>
                  <w:r>
                    <w:rPr>
                      <w:rFonts w:hint="eastAsia"/>
                      <w:color w:val="auto"/>
                      <w:sz w:val="21"/>
                      <w:szCs w:val="21"/>
                    </w:rPr>
                    <w:t>m，占地面积约为</w:t>
                  </w:r>
                  <w:r>
                    <w:rPr>
                      <w:rFonts w:hint="eastAsia"/>
                      <w:color w:val="auto"/>
                      <w:sz w:val="21"/>
                      <w:szCs w:val="21"/>
                      <w:lang w:val="en-US" w:eastAsia="zh-CN"/>
                    </w:rPr>
                    <w:t>24</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rPr>
                    <w:t>最大可堆放</w:t>
                  </w:r>
                  <w:r>
                    <w:rPr>
                      <w:rFonts w:hint="eastAsia"/>
                      <w:color w:val="auto"/>
                      <w:sz w:val="21"/>
                      <w:szCs w:val="21"/>
                      <w:lang w:val="en-US" w:eastAsia="zh-CN"/>
                    </w:rPr>
                    <w:t>80</w:t>
                  </w:r>
                  <w:r>
                    <w:rPr>
                      <w:rFonts w:hint="eastAsia"/>
                      <w:color w:val="auto"/>
                      <w:sz w:val="21"/>
                      <w:szCs w:val="21"/>
                    </w:rPr>
                    <w:t>吨</w:t>
                  </w:r>
                </w:p>
              </w:tc>
              <w:tc>
                <w:tcPr>
                  <w:tcW w:w="984" w:type="dxa"/>
                  <w:vAlign w:val="center"/>
                </w:tcPr>
                <w:p>
                  <w:pPr>
                    <w:adjustRightInd w:val="0"/>
                    <w:snapToGrid w:val="0"/>
                    <w:jc w:val="center"/>
                    <w:rPr>
                      <w:rFonts w:hint="eastAsia"/>
                      <w:color w:val="auto"/>
                      <w:sz w:val="21"/>
                    </w:rPr>
                  </w:pPr>
                  <w:r>
                    <w:rPr>
                      <w:rFonts w:hint="eastAsia"/>
                      <w:color w:val="auto"/>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shd w:val="clear" w:color="auto" w:fill="auto"/>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矿粉筒仓</w:t>
                  </w:r>
                </w:p>
              </w:tc>
              <w:tc>
                <w:tcPr>
                  <w:tcW w:w="5490" w:type="dxa"/>
                  <w:gridSpan w:val="2"/>
                  <w:shd w:val="clear" w:color="auto" w:fill="auto"/>
                  <w:vAlign w:val="center"/>
                </w:tcPr>
                <w:p>
                  <w:pPr>
                    <w:adjustRightInd w:val="0"/>
                    <w:snapToGrid w:val="0"/>
                    <w:ind w:firstLine="420" w:firstLineChars="200"/>
                    <w:rPr>
                      <w:color w:val="auto"/>
                      <w:sz w:val="21"/>
                      <w:szCs w:val="21"/>
                    </w:rPr>
                  </w:pPr>
                  <w:r>
                    <w:rPr>
                      <w:rFonts w:hint="eastAsia"/>
                      <w:color w:val="auto"/>
                      <w:sz w:val="21"/>
                      <w:szCs w:val="21"/>
                    </w:rPr>
                    <w:t>位于厂区西北侧，矿粉仓</w:t>
                  </w:r>
                  <w:r>
                    <w:rPr>
                      <w:rFonts w:hint="eastAsia"/>
                      <w:color w:val="auto"/>
                      <w:sz w:val="21"/>
                      <w:szCs w:val="21"/>
                      <w:lang w:val="en-US" w:eastAsia="zh-CN"/>
                    </w:rPr>
                    <w:t>1</w:t>
                  </w:r>
                  <w:r>
                    <w:rPr>
                      <w:rFonts w:hint="eastAsia"/>
                      <w:color w:val="auto"/>
                      <w:sz w:val="21"/>
                      <w:szCs w:val="21"/>
                    </w:rPr>
                    <w:t>个100t，罐顶离地高度1</w:t>
                  </w:r>
                  <w:r>
                    <w:rPr>
                      <w:rFonts w:hint="eastAsia"/>
                      <w:color w:val="auto"/>
                      <w:sz w:val="21"/>
                      <w:szCs w:val="21"/>
                      <w:lang w:val="en-US" w:eastAsia="zh-CN"/>
                    </w:rPr>
                    <w:t>5</w:t>
                  </w:r>
                  <w:r>
                    <w:rPr>
                      <w:rFonts w:hint="eastAsia"/>
                      <w:color w:val="auto"/>
                      <w:sz w:val="21"/>
                      <w:szCs w:val="21"/>
                    </w:rPr>
                    <w:t>m。</w:t>
                  </w:r>
                </w:p>
              </w:tc>
              <w:tc>
                <w:tcPr>
                  <w:tcW w:w="984" w:type="dxa"/>
                  <w:vAlign w:val="center"/>
                </w:tcPr>
                <w:p>
                  <w:pPr>
                    <w:adjustRightInd w:val="0"/>
                    <w:snapToGrid w:val="0"/>
                    <w:jc w:val="center"/>
                    <w:rPr>
                      <w:color w:val="auto"/>
                      <w:sz w:val="21"/>
                    </w:rPr>
                  </w:pPr>
                  <w:r>
                    <w:rPr>
                      <w:rFonts w:hint="eastAsia"/>
                      <w:color w:val="auto"/>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shd w:val="clear" w:color="auto" w:fill="auto"/>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沥青罐</w:t>
                  </w:r>
                </w:p>
              </w:tc>
              <w:tc>
                <w:tcPr>
                  <w:tcW w:w="5490" w:type="dxa"/>
                  <w:gridSpan w:val="2"/>
                  <w:shd w:val="clear" w:color="auto" w:fill="auto"/>
                  <w:vAlign w:val="center"/>
                </w:tcPr>
                <w:p>
                  <w:pPr>
                    <w:adjustRightInd w:val="0"/>
                    <w:snapToGrid w:val="0"/>
                    <w:ind w:firstLine="420" w:firstLineChars="200"/>
                    <w:rPr>
                      <w:rFonts w:hint="eastAsia" w:eastAsia="宋体"/>
                      <w:color w:val="auto"/>
                      <w:sz w:val="21"/>
                      <w:szCs w:val="21"/>
                      <w:lang w:eastAsia="zh-CN"/>
                    </w:rPr>
                  </w:pPr>
                  <w:r>
                    <w:rPr>
                      <w:rFonts w:hint="eastAsia"/>
                      <w:color w:val="auto"/>
                      <w:sz w:val="21"/>
                      <w:szCs w:val="21"/>
                      <w:lang w:val="en-US" w:eastAsia="zh-CN"/>
                    </w:rPr>
                    <w:t>设置3</w:t>
                  </w:r>
                  <w:r>
                    <w:rPr>
                      <w:rFonts w:hint="eastAsia"/>
                      <w:color w:val="auto"/>
                      <w:sz w:val="21"/>
                      <w:szCs w:val="21"/>
                    </w:rPr>
                    <w:t>个50t沥青罐，</w:t>
                  </w:r>
                  <w:r>
                    <w:rPr>
                      <w:rFonts w:hint="eastAsia"/>
                      <w:color w:val="auto"/>
                      <w:sz w:val="21"/>
                      <w:szCs w:val="21"/>
                      <w:lang w:val="en-US" w:eastAsia="zh-CN"/>
                    </w:rPr>
                    <w:t>1个500t沥青罐</w:t>
                  </w:r>
                  <w:r>
                    <w:rPr>
                      <w:rFonts w:hint="eastAsia"/>
                      <w:color w:val="auto"/>
                      <w:sz w:val="21"/>
                      <w:szCs w:val="21"/>
                      <w:lang w:eastAsia="zh-CN"/>
                    </w:rPr>
                    <w:t>，</w:t>
                  </w:r>
                  <w:r>
                    <w:rPr>
                      <w:rFonts w:hint="eastAsia" w:cs="Times New Roman"/>
                      <w:b w:val="0"/>
                      <w:bCs/>
                      <w:color w:val="auto"/>
                      <w:kern w:val="2"/>
                      <w:sz w:val="21"/>
                      <w:szCs w:val="21"/>
                      <w:highlight w:val="none"/>
                      <w:u w:val="none" w:color="auto"/>
                      <w:vertAlign w:val="baseline"/>
                      <w:lang w:val="en-US" w:eastAsia="zh-CN" w:bidi="ar-SA"/>
                    </w:rPr>
                    <w:t>地面做重点防渗区硬化，</w:t>
                  </w:r>
                  <w:r>
                    <w:rPr>
                      <w:rFonts w:hint="default" w:cs="Times New Roman"/>
                      <w:b w:val="0"/>
                      <w:bCs/>
                      <w:color w:val="auto"/>
                      <w:kern w:val="2"/>
                      <w:sz w:val="21"/>
                      <w:szCs w:val="21"/>
                      <w:highlight w:val="none"/>
                      <w:u w:val="none" w:color="auto"/>
                      <w:vertAlign w:val="baseline"/>
                      <w:lang w:val="en-US" w:eastAsia="zh-CN" w:bidi="ar-SA"/>
                    </w:rPr>
                    <w:t>储罐区设置围堰，围堰高度不低于0.</w:t>
                  </w:r>
                  <w:r>
                    <w:rPr>
                      <w:rFonts w:hint="eastAsia" w:cs="Times New Roman"/>
                      <w:b w:val="0"/>
                      <w:bCs/>
                      <w:color w:val="auto"/>
                      <w:kern w:val="2"/>
                      <w:sz w:val="21"/>
                      <w:szCs w:val="21"/>
                      <w:highlight w:val="none"/>
                      <w:u w:val="none" w:color="auto"/>
                      <w:vertAlign w:val="baseline"/>
                      <w:lang w:val="en-US" w:eastAsia="zh-CN" w:bidi="ar-SA"/>
                    </w:rPr>
                    <w:t>5</w:t>
                  </w:r>
                  <w:r>
                    <w:rPr>
                      <w:rFonts w:hint="default" w:cs="Times New Roman"/>
                      <w:b w:val="0"/>
                      <w:bCs/>
                      <w:color w:val="auto"/>
                      <w:kern w:val="2"/>
                      <w:sz w:val="21"/>
                      <w:szCs w:val="21"/>
                      <w:highlight w:val="none"/>
                      <w:u w:val="none" w:color="auto"/>
                      <w:vertAlign w:val="baseline"/>
                      <w:lang w:val="en-US" w:eastAsia="zh-CN" w:bidi="ar-SA"/>
                    </w:rPr>
                    <w:t>m</w:t>
                  </w:r>
                  <w:r>
                    <w:rPr>
                      <w:rFonts w:hint="eastAsia" w:cs="Times New Roman"/>
                      <w:b w:val="0"/>
                      <w:bCs/>
                      <w:color w:val="auto"/>
                      <w:kern w:val="2"/>
                      <w:sz w:val="21"/>
                      <w:szCs w:val="21"/>
                      <w:highlight w:val="none"/>
                      <w:u w:val="none" w:color="auto"/>
                      <w:vertAlign w:val="baseline"/>
                      <w:lang w:val="en-US" w:eastAsia="zh-CN" w:bidi="ar-SA"/>
                    </w:rPr>
                    <w:t>。</w:t>
                  </w:r>
                </w:p>
              </w:tc>
              <w:tc>
                <w:tcPr>
                  <w:tcW w:w="984" w:type="dxa"/>
                  <w:vAlign w:val="center"/>
                </w:tcPr>
                <w:p>
                  <w:pPr>
                    <w:adjustRightInd w:val="0"/>
                    <w:snapToGrid w:val="0"/>
                    <w:jc w:val="center"/>
                    <w:rPr>
                      <w:color w:val="auto"/>
                      <w:sz w:val="21"/>
                    </w:rPr>
                  </w:pPr>
                  <w:r>
                    <w:rPr>
                      <w:rFonts w:hint="eastAsia"/>
                      <w:color w:val="auto"/>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shd w:val="clear" w:color="auto" w:fill="auto"/>
                  <w:vAlign w:val="center"/>
                </w:tcPr>
                <w:p>
                  <w:pPr>
                    <w:pStyle w:val="18"/>
                    <w:adjustRightInd w:val="0"/>
                    <w:snapToGrid w:val="0"/>
                    <w:jc w:val="center"/>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储油罐</w:t>
                  </w:r>
                </w:p>
              </w:tc>
              <w:tc>
                <w:tcPr>
                  <w:tcW w:w="5490" w:type="dxa"/>
                  <w:gridSpan w:val="2"/>
                  <w:shd w:val="clear" w:color="auto" w:fill="auto"/>
                  <w:vAlign w:val="center"/>
                </w:tcPr>
                <w:p>
                  <w:pPr>
                    <w:adjustRightInd w:val="0"/>
                    <w:snapToGrid w:val="0"/>
                    <w:ind w:firstLine="420" w:firstLineChars="200"/>
                    <w:rPr>
                      <w:rFonts w:hint="default"/>
                      <w:color w:val="auto"/>
                      <w:sz w:val="21"/>
                      <w:szCs w:val="21"/>
                      <w:lang w:val="en-US" w:eastAsia="zh-CN"/>
                    </w:rPr>
                  </w:pPr>
                  <w:r>
                    <w:rPr>
                      <w:rFonts w:hint="eastAsia"/>
                      <w:color w:val="auto"/>
                      <w:sz w:val="21"/>
                      <w:szCs w:val="21"/>
                      <w:lang w:val="en-US" w:eastAsia="zh-CN"/>
                    </w:rPr>
                    <w:t>设置20t柴油储罐2个，</w:t>
                  </w:r>
                  <w:r>
                    <w:rPr>
                      <w:rFonts w:hint="eastAsia" w:cs="Times New Roman"/>
                      <w:b w:val="0"/>
                      <w:bCs/>
                      <w:color w:val="auto"/>
                      <w:kern w:val="2"/>
                      <w:sz w:val="21"/>
                      <w:szCs w:val="21"/>
                      <w:highlight w:val="none"/>
                      <w:u w:val="none" w:color="auto"/>
                      <w:vertAlign w:val="baseline"/>
                      <w:lang w:val="en-US" w:eastAsia="zh-CN" w:bidi="ar-SA"/>
                    </w:rPr>
                    <w:t>地面做重点防渗区硬化，</w:t>
                  </w:r>
                  <w:r>
                    <w:rPr>
                      <w:rFonts w:hint="default" w:cs="Times New Roman"/>
                      <w:b w:val="0"/>
                      <w:bCs/>
                      <w:color w:val="auto"/>
                      <w:kern w:val="2"/>
                      <w:sz w:val="21"/>
                      <w:szCs w:val="21"/>
                      <w:highlight w:val="none"/>
                      <w:u w:val="none" w:color="auto"/>
                      <w:vertAlign w:val="baseline"/>
                      <w:lang w:val="en-US" w:eastAsia="zh-CN" w:bidi="ar-SA"/>
                    </w:rPr>
                    <w:t>储罐区设置围堰，围堰高度不低于0.</w:t>
                  </w:r>
                  <w:r>
                    <w:rPr>
                      <w:rFonts w:hint="eastAsia" w:cs="Times New Roman"/>
                      <w:b w:val="0"/>
                      <w:bCs/>
                      <w:color w:val="auto"/>
                      <w:kern w:val="2"/>
                      <w:sz w:val="21"/>
                      <w:szCs w:val="21"/>
                      <w:highlight w:val="none"/>
                      <w:u w:val="none" w:color="auto"/>
                      <w:vertAlign w:val="baseline"/>
                      <w:lang w:val="en-US" w:eastAsia="zh-CN" w:bidi="ar-SA"/>
                    </w:rPr>
                    <w:t>5</w:t>
                  </w:r>
                  <w:r>
                    <w:rPr>
                      <w:rFonts w:hint="default" w:cs="Times New Roman"/>
                      <w:b w:val="0"/>
                      <w:bCs/>
                      <w:color w:val="auto"/>
                      <w:kern w:val="2"/>
                      <w:sz w:val="21"/>
                      <w:szCs w:val="21"/>
                      <w:highlight w:val="none"/>
                      <w:u w:val="none" w:color="auto"/>
                      <w:vertAlign w:val="baseline"/>
                      <w:lang w:val="en-US" w:eastAsia="zh-CN" w:bidi="ar-SA"/>
                    </w:rPr>
                    <w:t>m</w:t>
                  </w:r>
                  <w:r>
                    <w:rPr>
                      <w:rFonts w:hint="eastAsia" w:cs="Times New Roman"/>
                      <w:b w:val="0"/>
                      <w:bCs/>
                      <w:color w:val="auto"/>
                      <w:kern w:val="2"/>
                      <w:sz w:val="21"/>
                      <w:szCs w:val="21"/>
                      <w:highlight w:val="none"/>
                      <w:u w:val="none" w:color="auto"/>
                      <w:vertAlign w:val="baseline"/>
                      <w:lang w:val="en-US" w:eastAsia="zh-CN" w:bidi="ar-SA"/>
                    </w:rPr>
                    <w:t>。</w:t>
                  </w:r>
                </w:p>
              </w:tc>
              <w:tc>
                <w:tcPr>
                  <w:tcW w:w="984" w:type="dxa"/>
                  <w:vAlign w:val="center"/>
                </w:tcPr>
                <w:p>
                  <w:pPr>
                    <w:adjustRightInd w:val="0"/>
                    <w:snapToGrid w:val="0"/>
                    <w:jc w:val="center"/>
                    <w:rPr>
                      <w:rFonts w:hint="eastAsia"/>
                      <w:color w:val="auto"/>
                      <w:sz w:val="21"/>
                    </w:rPr>
                  </w:pPr>
                  <w:r>
                    <w:rPr>
                      <w:rFonts w:hint="eastAsia"/>
                      <w:color w:val="auto"/>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危险废物贮存点</w:t>
                  </w:r>
                </w:p>
              </w:tc>
              <w:tc>
                <w:tcPr>
                  <w:tcW w:w="5490" w:type="dxa"/>
                  <w:gridSpan w:val="2"/>
                  <w:vAlign w:val="center"/>
                </w:tcPr>
                <w:p>
                  <w:pPr>
                    <w:adjustRightInd w:val="0"/>
                    <w:snapToGrid w:val="0"/>
                    <w:ind w:firstLine="420" w:firstLineChars="200"/>
                    <w:rPr>
                      <w:color w:val="auto"/>
                      <w:sz w:val="21"/>
                      <w:szCs w:val="21"/>
                    </w:rPr>
                  </w:pPr>
                  <w:r>
                    <w:rPr>
                      <w:rFonts w:hint="eastAsia"/>
                      <w:color w:val="auto"/>
                      <w:sz w:val="21"/>
                      <w:szCs w:val="21"/>
                    </w:rPr>
                    <w:t>一层建筑，建筑面积10m</w:t>
                  </w:r>
                  <w:r>
                    <w:rPr>
                      <w:rFonts w:hint="eastAsia"/>
                      <w:color w:val="auto"/>
                      <w:sz w:val="21"/>
                      <w:szCs w:val="21"/>
                      <w:vertAlign w:val="superscript"/>
                    </w:rPr>
                    <w:t>2</w:t>
                  </w:r>
                  <w:r>
                    <w:rPr>
                      <w:rFonts w:hint="eastAsia"/>
                      <w:color w:val="auto"/>
                      <w:sz w:val="21"/>
                      <w:szCs w:val="21"/>
                    </w:rPr>
                    <w:t>，用于贮存废活性炭，废导热油，废布袋（沥青）。危险废物贮存点按照《危险废物贮存污染控制标准》（GB18597-2023）的相关要求，基础做防渗，采用2mm厚的高密度聚氯乙烯，渗透系数≤10</w:t>
                  </w:r>
                  <w:r>
                    <w:rPr>
                      <w:rFonts w:hint="eastAsia"/>
                      <w:color w:val="auto"/>
                      <w:sz w:val="21"/>
                      <w:szCs w:val="21"/>
                      <w:vertAlign w:val="superscript"/>
                    </w:rPr>
                    <w:t>-10</w:t>
                  </w:r>
                  <w:r>
                    <w:rPr>
                      <w:rFonts w:hint="eastAsia"/>
                      <w:color w:val="auto"/>
                      <w:sz w:val="21"/>
                      <w:szCs w:val="21"/>
                    </w:rPr>
                    <w:t>cm/s。</w:t>
                  </w:r>
                </w:p>
              </w:tc>
              <w:tc>
                <w:tcPr>
                  <w:tcW w:w="984" w:type="dxa"/>
                  <w:vAlign w:val="center"/>
                </w:tcPr>
                <w:p>
                  <w:pPr>
                    <w:adjustRightInd w:val="0"/>
                    <w:snapToGrid w:val="0"/>
                    <w:jc w:val="center"/>
                    <w:rPr>
                      <w:color w:val="auto"/>
                      <w:sz w:val="21"/>
                    </w:rPr>
                  </w:pPr>
                  <w:r>
                    <w:rPr>
                      <w:rFonts w:hint="eastAsia"/>
                      <w:color w:val="auto"/>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90" w:hRule="atLeast"/>
                <w:jc w:val="center"/>
              </w:trPr>
              <w:tc>
                <w:tcPr>
                  <w:tcW w:w="638" w:type="dxa"/>
                  <w:vMerge w:val="restart"/>
                  <w:vAlign w:val="center"/>
                </w:tcPr>
                <w:p>
                  <w:pPr>
                    <w:pStyle w:val="18"/>
                    <w:adjustRightInd w:val="0"/>
                    <w:snapToGrid w:val="0"/>
                    <w:jc w:val="center"/>
                    <w:rPr>
                      <w:rFonts w:ascii="Times New Roman" w:hAnsi="Times New Roman"/>
                      <w:color w:val="auto"/>
                      <w:sz w:val="21"/>
                    </w:rPr>
                  </w:pPr>
                  <w:r>
                    <w:rPr>
                      <w:rFonts w:ascii="Times New Roman" w:hAnsi="Times New Roman"/>
                      <w:color w:val="auto"/>
                      <w:sz w:val="21"/>
                    </w:rPr>
                    <w:t>环保工程</w:t>
                  </w:r>
                </w:p>
              </w:tc>
              <w:tc>
                <w:tcPr>
                  <w:tcW w:w="745" w:type="dxa"/>
                  <w:vMerge w:val="restart"/>
                  <w:vAlign w:val="center"/>
                </w:tcPr>
                <w:p>
                  <w:pPr>
                    <w:pStyle w:val="18"/>
                    <w:adjustRightInd w:val="0"/>
                    <w:snapToGrid w:val="0"/>
                    <w:jc w:val="center"/>
                    <w:rPr>
                      <w:rFonts w:ascii="Times New Roman" w:hAnsi="Times New Roman"/>
                      <w:color w:val="auto"/>
                      <w:sz w:val="21"/>
                    </w:rPr>
                  </w:pPr>
                  <w:r>
                    <w:rPr>
                      <w:rFonts w:ascii="Times New Roman" w:hAnsi="Times New Roman"/>
                      <w:color w:val="auto"/>
                      <w:sz w:val="21"/>
                    </w:rPr>
                    <w:t>废气</w:t>
                  </w:r>
                </w:p>
              </w:tc>
              <w:tc>
                <w:tcPr>
                  <w:tcW w:w="959"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沥青站废气</w:t>
                  </w:r>
                </w:p>
              </w:tc>
              <w:tc>
                <w:tcPr>
                  <w:tcW w:w="4531" w:type="dxa"/>
                  <w:vAlign w:val="center"/>
                </w:tcPr>
                <w:p>
                  <w:pPr>
                    <w:tabs>
                      <w:tab w:val="left" w:pos="2700"/>
                    </w:tabs>
                    <w:adjustRightInd w:val="0"/>
                    <w:snapToGrid w:val="0"/>
                    <w:ind w:firstLine="420" w:firstLineChars="200"/>
                    <w:rPr>
                      <w:color w:val="auto"/>
                      <w:sz w:val="21"/>
                      <w:szCs w:val="21"/>
                    </w:rPr>
                  </w:pPr>
                  <w:r>
                    <w:rPr>
                      <w:rFonts w:hint="eastAsia"/>
                      <w:color w:val="auto"/>
                      <w:sz w:val="21"/>
                      <w:szCs w:val="21"/>
                    </w:rPr>
                    <w:t>本项目沥青站烘干工序，燃烧器产生的</w:t>
                  </w:r>
                  <w:r>
                    <w:rPr>
                      <w:rFonts w:hint="eastAsia"/>
                      <w:color w:val="auto"/>
                      <w:sz w:val="21"/>
                      <w:szCs w:val="21"/>
                      <w:lang w:eastAsia="zh-CN"/>
                    </w:rPr>
                    <w:t>废气</w:t>
                  </w:r>
                  <w:r>
                    <w:rPr>
                      <w:rFonts w:hint="eastAsia"/>
                      <w:color w:val="auto"/>
                      <w:sz w:val="21"/>
                      <w:szCs w:val="21"/>
                    </w:rPr>
                    <w:t>经</w:t>
                  </w:r>
                  <w:r>
                    <w:rPr>
                      <w:rFonts w:hint="eastAsia"/>
                      <w:color w:val="auto"/>
                      <w:sz w:val="21"/>
                      <w:szCs w:val="21"/>
                      <w:lang w:val="en-US" w:eastAsia="zh-CN"/>
                    </w:rPr>
                    <w:t>旋风+</w:t>
                  </w:r>
                  <w:r>
                    <w:rPr>
                      <w:rFonts w:hint="eastAsia"/>
                      <w:color w:val="auto"/>
                      <w:sz w:val="21"/>
                      <w:szCs w:val="21"/>
                    </w:rPr>
                    <w:t>布袋除尘器处理后经</w:t>
                  </w:r>
                  <w:r>
                    <w:rPr>
                      <w:rFonts w:hint="eastAsia"/>
                      <w:color w:val="auto"/>
                      <w:sz w:val="21"/>
                      <w:szCs w:val="21"/>
                      <w:lang w:val="en-US" w:eastAsia="zh-CN"/>
                    </w:rPr>
                    <w:t>15</w:t>
                  </w:r>
                  <w:r>
                    <w:rPr>
                      <w:rFonts w:hint="eastAsia"/>
                      <w:color w:val="auto"/>
                      <w:sz w:val="21"/>
                      <w:szCs w:val="21"/>
                    </w:rPr>
                    <w:t>m高排气筒（DA002）排放，污染物排放执行《大气污染物综合排放标准》（G</w:t>
                  </w:r>
                  <w:r>
                    <w:rPr>
                      <w:rFonts w:hint="eastAsia"/>
                      <w:color w:val="auto"/>
                      <w:sz w:val="21"/>
                      <w:szCs w:val="21"/>
                      <w:lang w:val="en-US" w:eastAsia="zh-CN"/>
                    </w:rPr>
                    <w:t>B</w:t>
                  </w:r>
                  <w:r>
                    <w:rPr>
                      <w:rFonts w:hint="eastAsia"/>
                      <w:color w:val="auto"/>
                      <w:sz w:val="21"/>
                      <w:szCs w:val="21"/>
                    </w:rPr>
                    <w:t>16297-1996）表2中二级标准。</w:t>
                  </w:r>
                </w:p>
                <w:p>
                  <w:pPr>
                    <w:pStyle w:val="37"/>
                    <w:ind w:firstLine="420"/>
                    <w:rPr>
                      <w:color w:val="auto"/>
                      <w:sz w:val="21"/>
                    </w:rPr>
                  </w:pPr>
                  <w:r>
                    <w:rPr>
                      <w:rFonts w:hint="eastAsia"/>
                      <w:color w:val="auto"/>
                      <w:sz w:val="21"/>
                    </w:rPr>
                    <w:t>沥青站搅拌废气经布袋除尘器+活性炭吸附装置处理后经</w:t>
                  </w:r>
                  <w:r>
                    <w:rPr>
                      <w:rFonts w:hint="eastAsia"/>
                      <w:color w:val="auto"/>
                      <w:sz w:val="21"/>
                      <w:lang w:val="en-US" w:eastAsia="zh-CN"/>
                    </w:rPr>
                    <w:t>15</w:t>
                  </w:r>
                  <w:r>
                    <w:rPr>
                      <w:rFonts w:hint="eastAsia"/>
                      <w:color w:val="auto"/>
                      <w:sz w:val="21"/>
                    </w:rPr>
                    <w:t>m高排气筒（DA003）排放，污染物排放执行《大气污染物综合排放标准》（G</w:t>
                  </w:r>
                  <w:r>
                    <w:rPr>
                      <w:rFonts w:hint="eastAsia"/>
                      <w:color w:val="auto"/>
                      <w:sz w:val="21"/>
                      <w:lang w:val="en-US" w:eastAsia="zh-CN"/>
                    </w:rPr>
                    <w:t>B</w:t>
                  </w:r>
                  <w:r>
                    <w:rPr>
                      <w:rFonts w:hint="eastAsia"/>
                      <w:color w:val="auto"/>
                      <w:sz w:val="21"/>
                    </w:rPr>
                    <w:t>16297-1996）表2中二级标准。</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Merge w:val="continue"/>
                  <w:vAlign w:val="center"/>
                </w:tcPr>
                <w:p>
                  <w:pPr>
                    <w:pStyle w:val="18"/>
                    <w:adjustRightInd w:val="0"/>
                    <w:snapToGrid w:val="0"/>
                    <w:jc w:val="center"/>
                    <w:rPr>
                      <w:rFonts w:ascii="Times New Roman" w:hAnsi="Times New Roman"/>
                      <w:color w:val="auto"/>
                      <w:sz w:val="21"/>
                    </w:rPr>
                  </w:pPr>
                </w:p>
              </w:tc>
              <w:tc>
                <w:tcPr>
                  <w:tcW w:w="959" w:type="dxa"/>
                  <w:vAlign w:val="center"/>
                </w:tcPr>
                <w:p>
                  <w:pPr>
                    <w:pStyle w:val="18"/>
                    <w:adjustRightInd w:val="0"/>
                    <w:snapToGrid w:val="0"/>
                    <w:jc w:val="center"/>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料仓废气</w:t>
                  </w:r>
                </w:p>
              </w:tc>
              <w:tc>
                <w:tcPr>
                  <w:tcW w:w="4531" w:type="dxa"/>
                  <w:vAlign w:val="center"/>
                </w:tcPr>
                <w:p>
                  <w:pPr>
                    <w:tabs>
                      <w:tab w:val="left" w:pos="2700"/>
                    </w:tabs>
                    <w:adjustRightInd w:val="0"/>
                    <w:snapToGrid w:val="0"/>
                    <w:ind w:firstLine="420" w:firstLineChars="200"/>
                    <w:rPr>
                      <w:color w:val="auto"/>
                      <w:sz w:val="21"/>
                      <w:szCs w:val="21"/>
                    </w:rPr>
                  </w:pPr>
                  <w:r>
                    <w:rPr>
                      <w:rFonts w:hint="eastAsia"/>
                      <w:color w:val="auto"/>
                      <w:sz w:val="21"/>
                      <w:szCs w:val="21"/>
                      <w:lang w:val="en-US" w:eastAsia="zh-CN"/>
                    </w:rPr>
                    <w:t>料仓</w:t>
                  </w:r>
                  <w:r>
                    <w:rPr>
                      <w:rFonts w:hint="eastAsia"/>
                      <w:color w:val="auto"/>
                      <w:sz w:val="21"/>
                      <w:szCs w:val="21"/>
                    </w:rPr>
                    <w:t>密闭，</w:t>
                  </w:r>
                  <w:r>
                    <w:rPr>
                      <w:rFonts w:hint="eastAsia"/>
                      <w:color w:val="auto"/>
                      <w:sz w:val="21"/>
                      <w:szCs w:val="21"/>
                      <w:lang w:val="en-US" w:eastAsia="zh-CN"/>
                    </w:rPr>
                    <w:t>定期洒水降尘</w:t>
                  </w:r>
                  <w:r>
                    <w:rPr>
                      <w:rFonts w:hint="eastAsia"/>
                      <w:color w:val="auto"/>
                      <w:sz w:val="21"/>
                      <w:szCs w:val="21"/>
                    </w:rPr>
                    <w:t>。污染物排放执行《大气污染物综合排放标准》</w:t>
                  </w:r>
                  <w:r>
                    <w:rPr>
                      <w:rFonts w:hint="eastAsia"/>
                      <w:color w:val="auto"/>
                      <w:sz w:val="21"/>
                      <w:szCs w:val="21"/>
                      <w:lang w:eastAsia="zh-CN"/>
                    </w:rPr>
                    <w:t>（</w:t>
                  </w:r>
                  <w:r>
                    <w:rPr>
                      <w:rFonts w:hint="eastAsia"/>
                      <w:color w:val="auto"/>
                      <w:sz w:val="21"/>
                      <w:szCs w:val="21"/>
                    </w:rPr>
                    <w:t>GB16297-1996</w:t>
                  </w:r>
                  <w:r>
                    <w:rPr>
                      <w:rFonts w:hint="eastAsia"/>
                      <w:color w:val="auto"/>
                      <w:sz w:val="21"/>
                      <w:szCs w:val="21"/>
                      <w:lang w:eastAsia="zh-CN"/>
                    </w:rPr>
                    <w:t>）</w:t>
                  </w:r>
                  <w:r>
                    <w:rPr>
                      <w:rFonts w:hint="eastAsia"/>
                      <w:color w:val="auto"/>
                      <w:sz w:val="21"/>
                      <w:szCs w:val="21"/>
                    </w:rPr>
                    <w:t>无组织排放监控浓度限值</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tabs>
                      <w:tab w:val="left" w:pos="2700"/>
                    </w:tabs>
                    <w:adjustRightInd w:val="0"/>
                    <w:snapToGrid w:val="0"/>
                    <w:jc w:val="center"/>
                    <w:rPr>
                      <w:color w:val="auto"/>
                      <w:sz w:val="21"/>
                      <w:szCs w:val="21"/>
                    </w:rPr>
                  </w:pPr>
                </w:p>
              </w:tc>
              <w:tc>
                <w:tcPr>
                  <w:tcW w:w="745" w:type="dxa"/>
                  <w:vMerge w:val="continue"/>
                  <w:vAlign w:val="center"/>
                </w:tcPr>
                <w:p>
                  <w:pPr>
                    <w:tabs>
                      <w:tab w:val="left" w:pos="2700"/>
                    </w:tabs>
                    <w:adjustRightInd w:val="0"/>
                    <w:snapToGrid w:val="0"/>
                    <w:jc w:val="center"/>
                    <w:rPr>
                      <w:color w:val="auto"/>
                      <w:sz w:val="21"/>
                      <w:szCs w:val="21"/>
                    </w:rPr>
                  </w:pPr>
                </w:p>
              </w:tc>
              <w:tc>
                <w:tcPr>
                  <w:tcW w:w="959"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导热油炉废气</w:t>
                  </w:r>
                </w:p>
              </w:tc>
              <w:tc>
                <w:tcPr>
                  <w:tcW w:w="4531" w:type="dxa"/>
                  <w:vAlign w:val="center"/>
                </w:tcPr>
                <w:p>
                  <w:pPr>
                    <w:tabs>
                      <w:tab w:val="left" w:pos="2700"/>
                    </w:tabs>
                    <w:adjustRightInd w:val="0"/>
                    <w:snapToGrid w:val="0"/>
                    <w:ind w:firstLine="420" w:firstLineChars="200"/>
                    <w:rPr>
                      <w:color w:val="auto"/>
                      <w:sz w:val="21"/>
                      <w:szCs w:val="21"/>
                    </w:rPr>
                  </w:pPr>
                  <w:r>
                    <w:rPr>
                      <w:rFonts w:hint="eastAsia"/>
                      <w:color w:val="auto"/>
                      <w:sz w:val="21"/>
                      <w:szCs w:val="21"/>
                    </w:rPr>
                    <w:t>导热油炉采用低氮燃烧技术，烟气经低氮燃烧+1</w:t>
                  </w:r>
                  <w:r>
                    <w:rPr>
                      <w:rFonts w:hint="eastAsia"/>
                      <w:color w:val="auto"/>
                      <w:sz w:val="21"/>
                      <w:szCs w:val="21"/>
                      <w:lang w:val="en-US" w:eastAsia="zh-CN"/>
                    </w:rPr>
                    <w:t>5</w:t>
                  </w:r>
                  <w:r>
                    <w:rPr>
                      <w:rFonts w:hint="eastAsia"/>
                      <w:color w:val="auto"/>
                      <w:sz w:val="21"/>
                      <w:szCs w:val="21"/>
                    </w:rPr>
                    <w:t>m高排气筒DA001排放，满足</w:t>
                  </w:r>
                  <w:r>
                    <w:rPr>
                      <w:color w:val="auto"/>
                      <w:sz w:val="21"/>
                      <w:szCs w:val="21"/>
                    </w:rPr>
                    <w:t>《锅炉大气污染物排放标准》（GB13271-2014）中表</w:t>
                  </w:r>
                  <w:r>
                    <w:rPr>
                      <w:rFonts w:hint="eastAsia"/>
                      <w:color w:val="auto"/>
                      <w:sz w:val="21"/>
                      <w:szCs w:val="21"/>
                    </w:rPr>
                    <w:t>3</w:t>
                  </w:r>
                  <w:r>
                    <w:rPr>
                      <w:color w:val="auto"/>
                      <w:sz w:val="21"/>
                      <w:szCs w:val="21"/>
                    </w:rPr>
                    <w:t>标准</w:t>
                  </w:r>
                  <w:r>
                    <w:rPr>
                      <w:rFonts w:hint="eastAsia"/>
                      <w:color w:val="auto"/>
                      <w:sz w:val="21"/>
                      <w:szCs w:val="21"/>
                    </w:rPr>
                    <w:t>。</w:t>
                  </w:r>
                </w:p>
              </w:tc>
              <w:tc>
                <w:tcPr>
                  <w:tcW w:w="984" w:type="dxa"/>
                  <w:vAlign w:val="center"/>
                </w:tcPr>
                <w:p>
                  <w:pPr>
                    <w:tabs>
                      <w:tab w:val="left" w:pos="2700"/>
                    </w:tabs>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tabs>
                      <w:tab w:val="left" w:pos="2700"/>
                    </w:tabs>
                    <w:adjustRightInd w:val="0"/>
                    <w:snapToGrid w:val="0"/>
                    <w:jc w:val="center"/>
                    <w:rPr>
                      <w:color w:val="auto"/>
                      <w:sz w:val="21"/>
                      <w:szCs w:val="21"/>
                    </w:rPr>
                  </w:pPr>
                </w:p>
              </w:tc>
              <w:tc>
                <w:tcPr>
                  <w:tcW w:w="745" w:type="dxa"/>
                  <w:vMerge w:val="continue"/>
                  <w:vAlign w:val="center"/>
                </w:tcPr>
                <w:p>
                  <w:pPr>
                    <w:tabs>
                      <w:tab w:val="left" w:pos="2700"/>
                    </w:tabs>
                    <w:adjustRightInd w:val="0"/>
                    <w:snapToGrid w:val="0"/>
                    <w:jc w:val="center"/>
                    <w:rPr>
                      <w:color w:val="auto"/>
                      <w:sz w:val="21"/>
                      <w:szCs w:val="21"/>
                    </w:rPr>
                  </w:pPr>
                </w:p>
              </w:tc>
              <w:tc>
                <w:tcPr>
                  <w:tcW w:w="959" w:type="dxa"/>
                  <w:shd w:val="clear" w:color="auto" w:fill="auto"/>
                  <w:vAlign w:val="center"/>
                </w:tcPr>
                <w:p>
                  <w:pPr>
                    <w:tabs>
                      <w:tab w:val="left" w:pos="2700"/>
                    </w:tabs>
                    <w:adjustRightInd w:val="0"/>
                    <w:snapToGrid w:val="0"/>
                    <w:jc w:val="center"/>
                    <w:rPr>
                      <w:color w:val="auto"/>
                      <w:sz w:val="21"/>
                      <w:szCs w:val="21"/>
                    </w:rPr>
                  </w:pPr>
                  <w:r>
                    <w:rPr>
                      <w:rFonts w:hint="eastAsia"/>
                      <w:color w:val="auto"/>
                      <w:sz w:val="21"/>
                      <w:szCs w:val="21"/>
                    </w:rPr>
                    <w:t>矿粉筒仓</w:t>
                  </w:r>
                </w:p>
              </w:tc>
              <w:tc>
                <w:tcPr>
                  <w:tcW w:w="4531" w:type="dxa"/>
                  <w:shd w:val="clear" w:color="auto" w:fill="auto"/>
                  <w:vAlign w:val="center"/>
                </w:tcPr>
                <w:p>
                  <w:pPr>
                    <w:tabs>
                      <w:tab w:val="left" w:pos="2700"/>
                    </w:tabs>
                    <w:adjustRightInd w:val="0"/>
                    <w:snapToGrid w:val="0"/>
                    <w:ind w:firstLine="420" w:firstLineChars="200"/>
                    <w:rPr>
                      <w:color w:val="auto"/>
                      <w:sz w:val="21"/>
                      <w:szCs w:val="21"/>
                    </w:rPr>
                  </w:pPr>
                  <w:r>
                    <w:rPr>
                      <w:rFonts w:hint="eastAsia"/>
                      <w:color w:val="auto"/>
                      <w:sz w:val="21"/>
                      <w:szCs w:val="21"/>
                    </w:rPr>
                    <w:t>筒仓自带的布袋除尘器+脉冲吹扫后通过仓顶</w:t>
                  </w:r>
                  <w:r>
                    <w:rPr>
                      <w:rFonts w:hint="eastAsia"/>
                      <w:color w:val="auto"/>
                      <w:sz w:val="21"/>
                      <w:szCs w:val="21"/>
                      <w:lang w:val="en-US" w:eastAsia="zh-CN"/>
                    </w:rPr>
                    <w:t>15m高排气筒（DA004）</w:t>
                  </w:r>
                  <w:r>
                    <w:rPr>
                      <w:rFonts w:hint="eastAsia"/>
                      <w:color w:val="auto"/>
                      <w:sz w:val="21"/>
                      <w:szCs w:val="21"/>
                    </w:rPr>
                    <w:t>排放。</w:t>
                  </w:r>
                </w:p>
              </w:tc>
              <w:tc>
                <w:tcPr>
                  <w:tcW w:w="984" w:type="dxa"/>
                  <w:vAlign w:val="center"/>
                </w:tcPr>
                <w:p>
                  <w:pPr>
                    <w:tabs>
                      <w:tab w:val="left" w:pos="2700"/>
                    </w:tabs>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tabs>
                      <w:tab w:val="left" w:pos="2700"/>
                    </w:tabs>
                    <w:adjustRightInd w:val="0"/>
                    <w:snapToGrid w:val="0"/>
                    <w:jc w:val="center"/>
                    <w:rPr>
                      <w:color w:val="auto"/>
                      <w:sz w:val="21"/>
                      <w:szCs w:val="21"/>
                    </w:rPr>
                  </w:pPr>
                </w:p>
              </w:tc>
              <w:tc>
                <w:tcPr>
                  <w:tcW w:w="745" w:type="dxa"/>
                  <w:vMerge w:val="continue"/>
                  <w:vAlign w:val="center"/>
                </w:tcPr>
                <w:p>
                  <w:pPr>
                    <w:tabs>
                      <w:tab w:val="left" w:pos="2700"/>
                    </w:tabs>
                    <w:adjustRightInd w:val="0"/>
                    <w:snapToGrid w:val="0"/>
                    <w:jc w:val="center"/>
                    <w:rPr>
                      <w:color w:val="auto"/>
                      <w:sz w:val="21"/>
                      <w:szCs w:val="21"/>
                    </w:rPr>
                  </w:pPr>
                </w:p>
              </w:tc>
              <w:tc>
                <w:tcPr>
                  <w:tcW w:w="959" w:type="dxa"/>
                  <w:shd w:val="clear" w:color="auto" w:fill="auto"/>
                  <w:vAlign w:val="center"/>
                </w:tcPr>
                <w:p>
                  <w:pPr>
                    <w:tabs>
                      <w:tab w:val="left" w:pos="2700"/>
                    </w:tabs>
                    <w:adjustRightInd w:val="0"/>
                    <w:snapToGrid w:val="0"/>
                    <w:jc w:val="center"/>
                    <w:rPr>
                      <w:color w:val="auto"/>
                      <w:sz w:val="21"/>
                      <w:szCs w:val="21"/>
                    </w:rPr>
                  </w:pPr>
                  <w:r>
                    <w:rPr>
                      <w:rFonts w:hint="eastAsia"/>
                      <w:color w:val="auto"/>
                      <w:sz w:val="21"/>
                      <w:szCs w:val="21"/>
                    </w:rPr>
                    <w:t>沥青罐</w:t>
                  </w:r>
                </w:p>
              </w:tc>
              <w:tc>
                <w:tcPr>
                  <w:tcW w:w="4531" w:type="dxa"/>
                  <w:shd w:val="clear" w:color="auto" w:fill="auto"/>
                  <w:vAlign w:val="center"/>
                </w:tcPr>
                <w:p>
                  <w:pPr>
                    <w:tabs>
                      <w:tab w:val="left" w:pos="2700"/>
                    </w:tabs>
                    <w:adjustRightInd w:val="0"/>
                    <w:snapToGrid w:val="0"/>
                    <w:ind w:firstLine="420" w:firstLineChars="200"/>
                    <w:rPr>
                      <w:color w:val="auto"/>
                      <w:sz w:val="21"/>
                      <w:szCs w:val="21"/>
                    </w:rPr>
                  </w:pPr>
                  <w:r>
                    <w:rPr>
                      <w:rFonts w:hint="eastAsia"/>
                      <w:color w:val="auto"/>
                      <w:sz w:val="21"/>
                      <w:szCs w:val="21"/>
                    </w:rPr>
                    <w:t>卧式罐，罐顶设气相平衡管，污染物排放执行《大气污染物综合排放标准》（GB16297-1996）无组织排放监控浓度限值。</w:t>
                  </w:r>
                  <w:r>
                    <w:rPr>
                      <w:rFonts w:hint="default" w:ascii="Times New Roman" w:hAnsi="Times New Roman" w:cs="Times New Roman"/>
                      <w:color w:val="auto"/>
                      <w:sz w:val="21"/>
                      <w:szCs w:val="18"/>
                    </w:rPr>
                    <w:t>厂区内VOCs执行《挥发性有机物无组织排放控制标准》（GB37822-2019）</w:t>
                  </w:r>
                </w:p>
              </w:tc>
              <w:tc>
                <w:tcPr>
                  <w:tcW w:w="984" w:type="dxa"/>
                  <w:shd w:val="clear" w:color="auto" w:fill="auto"/>
                  <w:vAlign w:val="center"/>
                </w:tcPr>
                <w:p>
                  <w:pPr>
                    <w:tabs>
                      <w:tab w:val="left" w:pos="2700"/>
                    </w:tabs>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kern w:val="0"/>
                      <w:sz w:val="21"/>
                    </w:rPr>
                  </w:pPr>
                </w:p>
              </w:tc>
              <w:tc>
                <w:tcPr>
                  <w:tcW w:w="745" w:type="dxa"/>
                  <w:vAlign w:val="center"/>
                </w:tcPr>
                <w:p>
                  <w:pPr>
                    <w:adjustRightInd w:val="0"/>
                    <w:snapToGrid w:val="0"/>
                    <w:jc w:val="center"/>
                    <w:rPr>
                      <w:color w:val="auto"/>
                      <w:sz w:val="21"/>
                      <w:szCs w:val="21"/>
                    </w:rPr>
                  </w:pPr>
                  <w:r>
                    <w:rPr>
                      <w:color w:val="auto"/>
                      <w:sz w:val="21"/>
                      <w:szCs w:val="21"/>
                    </w:rPr>
                    <w:t>废水</w:t>
                  </w:r>
                </w:p>
              </w:tc>
              <w:tc>
                <w:tcPr>
                  <w:tcW w:w="5490" w:type="dxa"/>
                  <w:gridSpan w:val="2"/>
                  <w:vAlign w:val="center"/>
                </w:tcPr>
                <w:p>
                  <w:pPr>
                    <w:tabs>
                      <w:tab w:val="left" w:pos="2700"/>
                    </w:tabs>
                    <w:adjustRightInd w:val="0"/>
                    <w:snapToGrid w:val="0"/>
                    <w:ind w:firstLine="420" w:firstLineChars="200"/>
                    <w:rPr>
                      <w:color w:val="auto"/>
                      <w:sz w:val="21"/>
                      <w:szCs w:val="21"/>
                    </w:rPr>
                  </w:pPr>
                  <w:r>
                    <w:rPr>
                      <w:rFonts w:hint="eastAsia"/>
                      <w:color w:val="auto"/>
                      <w:sz w:val="21"/>
                      <w:szCs w:val="21"/>
                    </w:rPr>
                    <w:t>本项目生活污水排入防渗旱厕，定期清掏，外运堆肥，喷淋用水全部</w:t>
                  </w:r>
                  <w:r>
                    <w:rPr>
                      <w:rFonts w:hint="eastAsia"/>
                      <w:color w:val="auto"/>
                      <w:sz w:val="21"/>
                      <w:szCs w:val="21"/>
                      <w:lang w:val="en-US" w:eastAsia="zh-CN"/>
                    </w:rPr>
                    <w:t>蒸发</w:t>
                  </w:r>
                  <w:r>
                    <w:rPr>
                      <w:rFonts w:hint="eastAsia"/>
                      <w:color w:val="auto"/>
                      <w:sz w:val="21"/>
                      <w:szCs w:val="21"/>
                    </w:rPr>
                    <w:t>，无生产废水产生。</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ascii="Times New Roman" w:hAnsi="Times New Roman"/>
                      <w:color w:val="auto"/>
                      <w:sz w:val="21"/>
                    </w:rPr>
                    <w:t>噪声</w:t>
                  </w:r>
                </w:p>
              </w:tc>
              <w:tc>
                <w:tcPr>
                  <w:tcW w:w="5490" w:type="dxa"/>
                  <w:gridSpan w:val="2"/>
                  <w:vAlign w:val="center"/>
                </w:tcPr>
                <w:p>
                  <w:pPr>
                    <w:pStyle w:val="18"/>
                    <w:adjustRightInd w:val="0"/>
                    <w:snapToGrid w:val="0"/>
                    <w:ind w:firstLine="420" w:firstLineChars="200"/>
                    <w:rPr>
                      <w:rFonts w:hint="default" w:ascii="Times New Roman" w:hAnsi="Times New Roman" w:eastAsia="宋体"/>
                      <w:color w:val="auto"/>
                      <w:sz w:val="21"/>
                      <w:lang w:val="en-US" w:eastAsia="zh-CN"/>
                    </w:rPr>
                  </w:pPr>
                  <w:r>
                    <w:rPr>
                      <w:rFonts w:ascii="Times New Roman" w:hAnsi="Times New Roman"/>
                      <w:color w:val="auto"/>
                      <w:sz w:val="21"/>
                    </w:rPr>
                    <w:t>采取安装减振基础和建筑隔声等措施。</w:t>
                  </w:r>
                  <w:r>
                    <w:rPr>
                      <w:rFonts w:hint="eastAsia" w:ascii="Times New Roman" w:hAnsi="Times New Roman"/>
                      <w:color w:val="auto"/>
                      <w:sz w:val="21"/>
                    </w:rPr>
                    <w:t>厂界</w:t>
                  </w:r>
                  <w:r>
                    <w:rPr>
                      <w:rFonts w:hint="eastAsia" w:ascii="Times New Roman" w:hAnsi="Times New Roman"/>
                      <w:color w:val="auto"/>
                      <w:sz w:val="21"/>
                      <w:lang w:val="en-US" w:eastAsia="zh-CN"/>
                    </w:rPr>
                    <w:t>西侧</w:t>
                  </w:r>
                  <w:r>
                    <w:rPr>
                      <w:rFonts w:hint="eastAsia" w:ascii="Times New Roman" w:hAnsi="Times New Roman"/>
                      <w:color w:val="auto"/>
                      <w:sz w:val="21"/>
                    </w:rPr>
                    <w:t>噪声满足《工业企业厂界环境噪声排放标准》（GB123448-2008）表1中</w:t>
                  </w:r>
                  <w:r>
                    <w:rPr>
                      <w:rFonts w:hint="eastAsia" w:ascii="Times New Roman" w:hAnsi="Times New Roman"/>
                      <w:color w:val="auto"/>
                      <w:sz w:val="21"/>
                      <w:lang w:val="en-US" w:eastAsia="zh-CN"/>
                    </w:rPr>
                    <w:t>4</w:t>
                  </w:r>
                  <w:r>
                    <w:rPr>
                      <w:rFonts w:hint="eastAsia" w:ascii="Times New Roman" w:hAnsi="Times New Roman"/>
                      <w:color w:val="auto"/>
                      <w:sz w:val="21"/>
                    </w:rPr>
                    <w:t>类</w:t>
                  </w:r>
                  <w:r>
                    <w:rPr>
                      <w:rFonts w:hint="eastAsia" w:ascii="Times New Roman" w:hAnsi="Times New Roman"/>
                      <w:color w:val="auto"/>
                      <w:sz w:val="21"/>
                      <w:lang w:val="en-US" w:eastAsia="zh-CN"/>
                    </w:rPr>
                    <w:t>标准要求，东侧、南侧、北侧满足</w:t>
                  </w:r>
                  <w:r>
                    <w:rPr>
                      <w:rFonts w:hint="eastAsia" w:ascii="Times New Roman" w:hAnsi="Times New Roman"/>
                      <w:color w:val="auto"/>
                      <w:sz w:val="21"/>
                    </w:rPr>
                    <w:t>《工业企业厂界环境噪声排放标准》（GB123448-2008）表1中</w:t>
                  </w:r>
                  <w:r>
                    <w:rPr>
                      <w:rFonts w:hint="eastAsia" w:ascii="Times New Roman" w:hAnsi="Times New Roman"/>
                      <w:color w:val="auto"/>
                      <w:sz w:val="21"/>
                      <w:lang w:val="en-US" w:eastAsia="zh-CN"/>
                    </w:rPr>
                    <w:t>2</w:t>
                  </w:r>
                  <w:r>
                    <w:rPr>
                      <w:rFonts w:hint="eastAsia" w:ascii="Times New Roman" w:hAnsi="Times New Roman"/>
                      <w:color w:val="auto"/>
                      <w:sz w:val="21"/>
                    </w:rPr>
                    <w:t>类</w:t>
                  </w:r>
                  <w:r>
                    <w:rPr>
                      <w:rFonts w:hint="eastAsia" w:ascii="Times New Roman" w:hAnsi="Times New Roman"/>
                      <w:color w:val="auto"/>
                      <w:sz w:val="21"/>
                      <w:lang w:val="en-US" w:eastAsia="zh-CN"/>
                    </w:rPr>
                    <w:t>标准要求</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Merge w:val="restart"/>
                  <w:vAlign w:val="center"/>
                </w:tcPr>
                <w:p>
                  <w:pPr>
                    <w:pStyle w:val="18"/>
                    <w:adjustRightInd w:val="0"/>
                    <w:snapToGrid w:val="0"/>
                    <w:jc w:val="center"/>
                    <w:rPr>
                      <w:rFonts w:ascii="Times New Roman" w:hAnsi="Times New Roman"/>
                      <w:color w:val="auto"/>
                      <w:sz w:val="21"/>
                    </w:rPr>
                  </w:pPr>
                  <w:r>
                    <w:rPr>
                      <w:rFonts w:ascii="Times New Roman" w:hAnsi="Times New Roman"/>
                      <w:color w:val="auto"/>
                      <w:sz w:val="21"/>
                    </w:rPr>
                    <w:t>固体废物</w:t>
                  </w:r>
                </w:p>
              </w:tc>
              <w:tc>
                <w:tcPr>
                  <w:tcW w:w="5490" w:type="dxa"/>
                  <w:gridSpan w:val="2"/>
                  <w:vAlign w:val="center"/>
                </w:tcPr>
                <w:p>
                  <w:pPr>
                    <w:pStyle w:val="18"/>
                    <w:adjustRightInd w:val="0"/>
                    <w:snapToGrid w:val="0"/>
                    <w:ind w:firstLine="420" w:firstLineChars="200"/>
                    <w:rPr>
                      <w:rFonts w:ascii="Times New Roman" w:hAnsi="Times New Roman"/>
                      <w:color w:val="auto"/>
                      <w:sz w:val="21"/>
                    </w:rPr>
                  </w:pPr>
                  <w:r>
                    <w:rPr>
                      <w:rFonts w:hint="eastAsia" w:ascii="Times New Roman" w:hAnsi="Times New Roman"/>
                      <w:color w:val="auto"/>
                      <w:sz w:val="21"/>
                    </w:rPr>
                    <w:t>矿粉筒仓除尘器收集的粉尘回用于生产。</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Merge w:val="continue"/>
                  <w:vAlign w:val="center"/>
                </w:tcPr>
                <w:p>
                  <w:pPr>
                    <w:pStyle w:val="18"/>
                    <w:adjustRightInd w:val="0"/>
                    <w:snapToGrid w:val="0"/>
                    <w:jc w:val="center"/>
                    <w:rPr>
                      <w:rFonts w:ascii="Times New Roman" w:hAnsi="Times New Roman"/>
                      <w:color w:val="auto"/>
                      <w:sz w:val="21"/>
                    </w:rPr>
                  </w:pPr>
                </w:p>
              </w:tc>
              <w:tc>
                <w:tcPr>
                  <w:tcW w:w="5490" w:type="dxa"/>
                  <w:gridSpan w:val="2"/>
                  <w:vAlign w:val="center"/>
                </w:tcPr>
                <w:p>
                  <w:pPr>
                    <w:pStyle w:val="18"/>
                    <w:adjustRightInd w:val="0"/>
                    <w:snapToGrid w:val="0"/>
                    <w:ind w:firstLine="420" w:firstLineChars="200"/>
                    <w:rPr>
                      <w:rFonts w:ascii="Times New Roman" w:hAnsi="Times New Roman"/>
                      <w:color w:val="auto"/>
                      <w:sz w:val="21"/>
                    </w:rPr>
                  </w:pPr>
                  <w:r>
                    <w:rPr>
                      <w:rFonts w:hint="eastAsia" w:ascii="Times New Roman" w:hAnsi="Times New Roman"/>
                      <w:color w:val="auto"/>
                      <w:sz w:val="21"/>
                    </w:rPr>
                    <w:t>废布袋（筒仓）由厂家更换后回收处置。</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Merge w:val="continue"/>
                  <w:vAlign w:val="center"/>
                </w:tcPr>
                <w:p>
                  <w:pPr>
                    <w:pStyle w:val="18"/>
                    <w:adjustRightInd w:val="0"/>
                    <w:snapToGrid w:val="0"/>
                    <w:jc w:val="center"/>
                    <w:rPr>
                      <w:rFonts w:ascii="Times New Roman" w:hAnsi="Times New Roman"/>
                      <w:color w:val="auto"/>
                      <w:sz w:val="21"/>
                    </w:rPr>
                  </w:pPr>
                </w:p>
              </w:tc>
              <w:tc>
                <w:tcPr>
                  <w:tcW w:w="5490" w:type="dxa"/>
                  <w:gridSpan w:val="2"/>
                  <w:vAlign w:val="center"/>
                </w:tcPr>
                <w:p>
                  <w:pPr>
                    <w:pStyle w:val="18"/>
                    <w:adjustRightInd w:val="0"/>
                    <w:snapToGrid w:val="0"/>
                    <w:ind w:firstLine="420" w:firstLineChars="200"/>
                    <w:rPr>
                      <w:rFonts w:ascii="Times New Roman" w:hAnsi="Times New Roman"/>
                      <w:color w:val="auto"/>
                      <w:sz w:val="21"/>
                    </w:rPr>
                  </w:pPr>
                  <w:r>
                    <w:rPr>
                      <w:rFonts w:hint="eastAsia" w:ascii="Times New Roman" w:hAnsi="Times New Roman"/>
                      <w:color w:val="auto"/>
                      <w:sz w:val="21"/>
                    </w:rPr>
                    <w:t>生活垃圾由环卫部门处置</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Merge w:val="continue"/>
                  <w:vAlign w:val="center"/>
                </w:tcPr>
                <w:p>
                  <w:pPr>
                    <w:pStyle w:val="18"/>
                    <w:adjustRightInd w:val="0"/>
                    <w:snapToGrid w:val="0"/>
                    <w:jc w:val="center"/>
                    <w:rPr>
                      <w:rFonts w:ascii="Times New Roman" w:hAnsi="Times New Roman"/>
                      <w:color w:val="auto"/>
                      <w:sz w:val="21"/>
                    </w:rPr>
                  </w:pPr>
                </w:p>
              </w:tc>
              <w:tc>
                <w:tcPr>
                  <w:tcW w:w="5490" w:type="dxa"/>
                  <w:gridSpan w:val="2"/>
                  <w:shd w:val="clear" w:color="auto" w:fill="auto"/>
                  <w:vAlign w:val="center"/>
                </w:tcPr>
                <w:p>
                  <w:pPr>
                    <w:pStyle w:val="18"/>
                    <w:adjustRightInd w:val="0"/>
                    <w:snapToGrid w:val="0"/>
                    <w:ind w:firstLine="420" w:firstLineChars="200"/>
                    <w:rPr>
                      <w:rFonts w:ascii="Times New Roman" w:hAnsi="Times New Roman"/>
                      <w:color w:val="auto"/>
                      <w:sz w:val="21"/>
                    </w:rPr>
                  </w:pPr>
                  <w:r>
                    <w:rPr>
                      <w:rFonts w:hint="eastAsia" w:ascii="Times New Roman" w:hAnsi="Times New Roman"/>
                      <w:color w:val="auto"/>
                      <w:sz w:val="21"/>
                    </w:rPr>
                    <w:t>废活性炭、废导热油、废布袋（沥青）暂存于危险废物贮存点，定期交由有资质单位处置。</w:t>
                  </w:r>
                </w:p>
              </w:tc>
              <w:tc>
                <w:tcPr>
                  <w:tcW w:w="984" w:type="dxa"/>
                  <w:shd w:val="clear" w:color="auto" w:fill="auto"/>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shd w:val="clear" w:color="auto" w:fill="auto"/>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防渗措施</w:t>
                  </w:r>
                </w:p>
              </w:tc>
              <w:tc>
                <w:tcPr>
                  <w:tcW w:w="5490" w:type="dxa"/>
                  <w:gridSpan w:val="2"/>
                  <w:shd w:val="clear" w:color="auto" w:fill="auto"/>
                  <w:vAlign w:val="center"/>
                </w:tcPr>
                <w:p>
                  <w:pPr>
                    <w:pStyle w:val="100"/>
                    <w:spacing w:before="79" w:line="227" w:lineRule="auto"/>
                    <w:ind w:right="12"/>
                    <w:rPr>
                      <w:rFonts w:ascii="Times New Roman" w:hAnsi="Times New Roman" w:cs="Times New Roman"/>
                      <w:color w:val="auto"/>
                      <w:spacing w:val="6"/>
                      <w:sz w:val="21"/>
                      <w:szCs w:val="21"/>
                      <w:lang w:eastAsia="zh-CN"/>
                    </w:rPr>
                  </w:pPr>
                  <w:r>
                    <w:rPr>
                      <w:rFonts w:ascii="Times New Roman" w:hAnsi="Times New Roman" w:cs="Times New Roman"/>
                      <w:color w:val="auto"/>
                      <w:spacing w:val="6"/>
                      <w:sz w:val="21"/>
                      <w:szCs w:val="21"/>
                      <w:lang w:eastAsia="zh-CN"/>
                    </w:rPr>
                    <w:t>①储罐区采取防渗措施，参考《环境影响评价导则 地下水环境》（HJ610-2016）中重点防渗区防渗技术要求，满足等效黏土防渗层Mb≥6m，K≤1×10</w:t>
                  </w:r>
                  <w:r>
                    <w:rPr>
                      <w:rFonts w:hint="eastAsia" w:ascii="Times New Roman" w:hAnsi="Times New Roman" w:cs="Times New Roman"/>
                      <w:color w:val="auto"/>
                      <w:spacing w:val="6"/>
                      <w:sz w:val="21"/>
                      <w:szCs w:val="21"/>
                      <w:vertAlign w:val="superscript"/>
                      <w:lang w:eastAsia="zh-CN"/>
                    </w:rPr>
                    <w:t>-</w:t>
                  </w:r>
                  <w:r>
                    <w:rPr>
                      <w:rFonts w:ascii="Times New Roman" w:hAnsi="Times New Roman" w:cs="Times New Roman"/>
                      <w:color w:val="auto"/>
                      <w:spacing w:val="6"/>
                      <w:sz w:val="21"/>
                      <w:szCs w:val="21"/>
                      <w:vertAlign w:val="superscript"/>
                      <w:lang w:eastAsia="zh-CN"/>
                    </w:rPr>
                    <w:t>7</w:t>
                  </w:r>
                  <w:r>
                    <w:rPr>
                      <w:rFonts w:ascii="Times New Roman" w:hAnsi="Times New Roman" w:cs="Times New Roman"/>
                      <w:color w:val="auto"/>
                      <w:spacing w:val="6"/>
                      <w:sz w:val="21"/>
                      <w:szCs w:val="21"/>
                      <w:lang w:eastAsia="zh-CN"/>
                    </w:rPr>
                    <w:t>cm/s的要求，并设置非燃烧材料的防火堤围堰，防火堤内的有效容积不小于最大贮罐的容积，切断影响途径。</w:t>
                  </w:r>
                </w:p>
                <w:p>
                  <w:pPr>
                    <w:pStyle w:val="100"/>
                    <w:spacing w:before="79" w:line="227" w:lineRule="auto"/>
                    <w:ind w:right="12"/>
                    <w:rPr>
                      <w:rFonts w:ascii="Times New Roman" w:hAnsi="Times New Roman" w:cs="Times New Roman"/>
                      <w:color w:val="auto"/>
                      <w:spacing w:val="6"/>
                      <w:sz w:val="21"/>
                      <w:szCs w:val="21"/>
                      <w:lang w:eastAsia="zh-CN"/>
                    </w:rPr>
                  </w:pPr>
                  <w:r>
                    <w:rPr>
                      <w:rFonts w:ascii="Times New Roman" w:hAnsi="Times New Roman" w:cs="Times New Roman"/>
                      <w:color w:val="auto"/>
                      <w:spacing w:val="6"/>
                      <w:sz w:val="21"/>
                      <w:szCs w:val="21"/>
                      <w:lang w:eastAsia="zh-CN"/>
                    </w:rPr>
                    <w:t>②危险废物</w:t>
                  </w:r>
                  <w:r>
                    <w:rPr>
                      <w:rFonts w:hint="eastAsia" w:ascii="Times New Roman" w:hAnsi="Times New Roman" w:cs="Times New Roman"/>
                      <w:color w:val="auto"/>
                      <w:spacing w:val="6"/>
                      <w:sz w:val="21"/>
                      <w:szCs w:val="21"/>
                      <w:lang w:eastAsia="zh-CN"/>
                    </w:rPr>
                    <w:t>贮存点</w:t>
                  </w:r>
                  <w:r>
                    <w:rPr>
                      <w:rFonts w:ascii="Times New Roman" w:hAnsi="Times New Roman" w:cs="Times New Roman"/>
                      <w:color w:val="auto"/>
                      <w:spacing w:val="6"/>
                      <w:sz w:val="21"/>
                      <w:szCs w:val="21"/>
                      <w:lang w:eastAsia="zh-CN"/>
                    </w:rPr>
                    <w:t>为重点防渗区，设置独立区域，地面与裙脚采用至少1m厚黏土层（渗透系数不大于10</w:t>
                  </w:r>
                  <w:r>
                    <w:rPr>
                      <w:rFonts w:hint="eastAsia" w:ascii="Times New Roman" w:hAnsi="Times New Roman" w:cs="Times New Roman"/>
                      <w:color w:val="auto"/>
                      <w:spacing w:val="6"/>
                      <w:sz w:val="21"/>
                      <w:szCs w:val="21"/>
                      <w:vertAlign w:val="superscript"/>
                      <w:lang w:eastAsia="zh-CN"/>
                    </w:rPr>
                    <w:t>-</w:t>
                  </w:r>
                  <w:r>
                    <w:rPr>
                      <w:rFonts w:ascii="Times New Roman" w:hAnsi="Times New Roman" w:cs="Times New Roman"/>
                      <w:color w:val="auto"/>
                      <w:spacing w:val="6"/>
                      <w:sz w:val="21"/>
                      <w:szCs w:val="21"/>
                      <w:vertAlign w:val="superscript"/>
                      <w:lang w:eastAsia="zh-CN"/>
                    </w:rPr>
                    <w:t>7</w:t>
                  </w:r>
                  <w:r>
                    <w:rPr>
                      <w:rFonts w:ascii="Times New Roman" w:hAnsi="Times New Roman" w:cs="Times New Roman"/>
                      <w:color w:val="auto"/>
                      <w:spacing w:val="6"/>
                      <w:sz w:val="21"/>
                      <w:szCs w:val="21"/>
                      <w:lang w:eastAsia="zh-CN"/>
                    </w:rPr>
                    <w:t>cm/s），或至少2mm厚高密度聚乙烯膜等人工防渗材料（渗透系数不大于10</w:t>
                  </w:r>
                  <w:r>
                    <w:rPr>
                      <w:rFonts w:hint="eastAsia" w:ascii="Times New Roman" w:hAnsi="Times New Roman" w:cs="Times New Roman"/>
                      <w:color w:val="auto"/>
                      <w:spacing w:val="6"/>
                      <w:sz w:val="21"/>
                      <w:szCs w:val="21"/>
                      <w:vertAlign w:val="superscript"/>
                      <w:lang w:eastAsia="zh-CN"/>
                    </w:rPr>
                    <w:t>-</w:t>
                  </w:r>
                  <w:r>
                    <w:rPr>
                      <w:rFonts w:ascii="Times New Roman" w:hAnsi="Times New Roman" w:cs="Times New Roman"/>
                      <w:color w:val="auto"/>
                      <w:spacing w:val="6"/>
                      <w:sz w:val="21"/>
                      <w:szCs w:val="21"/>
                      <w:vertAlign w:val="superscript"/>
                      <w:lang w:eastAsia="zh-CN"/>
                    </w:rPr>
                    <w:t>7</w:t>
                  </w:r>
                  <w:r>
                    <w:rPr>
                      <w:rFonts w:ascii="Times New Roman" w:hAnsi="Times New Roman" w:cs="Times New Roman"/>
                      <w:color w:val="auto"/>
                      <w:spacing w:val="6"/>
                      <w:sz w:val="21"/>
                      <w:szCs w:val="21"/>
                      <w:lang w:eastAsia="zh-CN"/>
                    </w:rPr>
                    <w:t>cm/s），或其他防渗性能等效的材料；贮存设施或贮存分区内地面、墙面裙脚、堵截</w:t>
                  </w:r>
                  <w:r>
                    <w:rPr>
                      <w:rFonts w:hint="eastAsia" w:ascii="Times New Roman" w:hAnsi="Times New Roman" w:cs="Times New Roman"/>
                      <w:color w:val="auto"/>
                      <w:spacing w:val="6"/>
                      <w:sz w:val="21"/>
                      <w:szCs w:val="21"/>
                      <w:lang w:eastAsia="zh-CN"/>
                    </w:rPr>
                    <w:t>泄漏</w:t>
                  </w:r>
                  <w:r>
                    <w:rPr>
                      <w:rFonts w:ascii="Times New Roman" w:hAnsi="Times New Roman" w:cs="Times New Roman"/>
                      <w:color w:val="auto"/>
                      <w:spacing w:val="6"/>
                      <w:sz w:val="21"/>
                      <w:szCs w:val="21"/>
                      <w:lang w:eastAsia="zh-CN"/>
                    </w:rPr>
                    <w:t>的围堰、接触危险废物的隔板和墙体等应采用坚固的材料建造，表面无裂缝。防渗技术要求符合《危险废物贮存污染控制标准》（GB18597-2023）中有关防渗要求。</w:t>
                  </w:r>
                </w:p>
                <w:p>
                  <w:pPr>
                    <w:pStyle w:val="100"/>
                    <w:spacing w:before="79" w:line="227" w:lineRule="auto"/>
                    <w:ind w:right="12"/>
                    <w:rPr>
                      <w:rFonts w:ascii="Times New Roman" w:hAnsi="Times New Roman" w:cs="Times New Roman"/>
                      <w:color w:val="auto"/>
                      <w:sz w:val="21"/>
                      <w:szCs w:val="21"/>
                      <w:lang w:eastAsia="zh-CN"/>
                    </w:rPr>
                  </w:pPr>
                  <w:r>
                    <w:rPr>
                      <w:rFonts w:ascii="Times New Roman" w:hAnsi="Times New Roman" w:cs="Times New Roman"/>
                      <w:color w:val="auto"/>
                      <w:spacing w:val="6"/>
                      <w:sz w:val="21"/>
                      <w:szCs w:val="21"/>
                      <w:lang w:eastAsia="zh-CN"/>
                    </w:rPr>
                    <w:t>③厂区地面进行水泥硬化</w:t>
                  </w:r>
                  <w:r>
                    <w:rPr>
                      <w:rFonts w:hint="eastAsia" w:ascii="Times New Roman" w:hAnsi="Times New Roman" w:cs="Times New Roman"/>
                      <w:color w:val="auto"/>
                      <w:spacing w:val="6"/>
                      <w:sz w:val="21"/>
                      <w:szCs w:val="21"/>
                      <w:lang w:eastAsia="zh-CN"/>
                    </w:rPr>
                    <w:t>。</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40" w:hRule="atLeast"/>
                <w:jc w:val="center"/>
              </w:trPr>
              <w:tc>
                <w:tcPr>
                  <w:tcW w:w="638" w:type="dxa"/>
                  <w:vMerge w:val="continue"/>
                  <w:vAlign w:val="center"/>
                </w:tcPr>
                <w:p>
                  <w:pPr>
                    <w:pStyle w:val="18"/>
                    <w:adjustRightInd w:val="0"/>
                    <w:snapToGrid w:val="0"/>
                    <w:jc w:val="center"/>
                    <w:rPr>
                      <w:rFonts w:ascii="Times New Roman" w:hAnsi="Times New Roman"/>
                      <w:color w:val="auto"/>
                      <w:sz w:val="21"/>
                    </w:rPr>
                  </w:pPr>
                </w:p>
              </w:tc>
              <w:tc>
                <w:tcPr>
                  <w:tcW w:w="745" w:type="dxa"/>
                  <w:vAlign w:val="center"/>
                </w:tcPr>
                <w:p>
                  <w:pPr>
                    <w:pStyle w:val="18"/>
                    <w:adjustRightInd w:val="0"/>
                    <w:snapToGrid w:val="0"/>
                    <w:jc w:val="center"/>
                    <w:rPr>
                      <w:rFonts w:ascii="Times New Roman" w:hAnsi="Times New Roman"/>
                      <w:color w:val="auto"/>
                      <w:sz w:val="21"/>
                    </w:rPr>
                  </w:pPr>
                  <w:r>
                    <w:rPr>
                      <w:rFonts w:hint="eastAsia" w:ascii="Times New Roman" w:hAnsi="Times New Roman"/>
                      <w:color w:val="auto"/>
                      <w:sz w:val="21"/>
                    </w:rPr>
                    <w:t>风险防控措施</w:t>
                  </w:r>
                </w:p>
              </w:tc>
              <w:tc>
                <w:tcPr>
                  <w:tcW w:w="5490" w:type="dxa"/>
                  <w:gridSpan w:val="2"/>
                  <w:vAlign w:val="center"/>
                </w:tcPr>
                <w:p>
                  <w:pPr>
                    <w:pStyle w:val="18"/>
                    <w:adjustRightInd w:val="0"/>
                    <w:snapToGrid w:val="0"/>
                    <w:ind w:firstLine="420" w:firstLineChars="200"/>
                    <w:rPr>
                      <w:rFonts w:ascii="Times New Roman" w:hAnsi="Times New Roman"/>
                      <w:color w:val="auto"/>
                      <w:sz w:val="21"/>
                    </w:rPr>
                  </w:pPr>
                  <w:r>
                    <w:rPr>
                      <w:rFonts w:hint="eastAsia" w:ascii="Times New Roman" w:hAnsi="Times New Roman"/>
                      <w:color w:val="auto"/>
                      <w:sz w:val="21"/>
                    </w:rPr>
                    <w:t>企业运营过程中积极采取防护措施，废导热油暂存于危废贮存点，由加盖的储存桶收集，危废贮存点按照《危险废物贮存污染控制标准》</w:t>
                  </w:r>
                  <w:r>
                    <w:rPr>
                      <w:rFonts w:hint="eastAsia" w:ascii="Times New Roman" w:hAnsi="Times New Roman"/>
                      <w:color w:val="auto"/>
                      <w:sz w:val="21"/>
                      <w:lang w:eastAsia="zh-CN"/>
                    </w:rPr>
                    <w:t>（</w:t>
                  </w:r>
                  <w:r>
                    <w:rPr>
                      <w:rFonts w:hint="eastAsia" w:ascii="Times New Roman" w:hAnsi="Times New Roman"/>
                      <w:color w:val="auto"/>
                      <w:sz w:val="21"/>
                    </w:rPr>
                    <w:t>GB18597-2023</w:t>
                  </w:r>
                  <w:r>
                    <w:rPr>
                      <w:rFonts w:hint="eastAsia" w:ascii="Times New Roman" w:hAnsi="Times New Roman"/>
                      <w:color w:val="auto"/>
                      <w:sz w:val="21"/>
                      <w:lang w:eastAsia="zh-CN"/>
                    </w:rPr>
                    <w:t>）</w:t>
                  </w:r>
                  <w:r>
                    <w:rPr>
                      <w:rFonts w:hint="eastAsia" w:ascii="Times New Roman" w:hAnsi="Times New Roman"/>
                      <w:color w:val="auto"/>
                      <w:sz w:val="21"/>
                    </w:rPr>
                    <w:t>的管理规定，对贮存点做好防风、防雨、防渗措施，设有事故槽，以防泄漏后造成二次污染。加强储罐与管道系统的管理与维修，使沥青储存系统处于密闭化，严格防止跑、冒、滴、漏现象发生</w:t>
                  </w:r>
                  <w:r>
                    <w:rPr>
                      <w:rFonts w:hint="eastAsia" w:ascii="Times New Roman" w:hAnsi="Times New Roman"/>
                      <w:color w:val="auto"/>
                      <w:sz w:val="21"/>
                      <w:lang w:eastAsia="zh-CN"/>
                    </w:rPr>
                    <w:t>；</w:t>
                  </w:r>
                  <w:r>
                    <w:rPr>
                      <w:rFonts w:hint="eastAsia" w:ascii="Times New Roman" w:hAnsi="Times New Roman"/>
                      <w:color w:val="auto"/>
                      <w:sz w:val="21"/>
                      <w:lang w:val="en-US" w:eastAsia="zh-CN"/>
                    </w:rPr>
                    <w:t>由外界拉运来的天然气储罐下方设置</w:t>
                  </w:r>
                  <w:r>
                    <w:rPr>
                      <w:rFonts w:hint="eastAsia" w:ascii="Times New Roman" w:hAnsi="Times New Roman"/>
                      <w:color w:val="auto"/>
                      <w:sz w:val="21"/>
                    </w:rPr>
                    <w:t>制订环境突发事故应急预案，一旦突发环境风险事故，立即按应急预案提到的紧急处理、救援、监测方案等进行紧急救援。</w:t>
                  </w:r>
                </w:p>
              </w:tc>
              <w:tc>
                <w:tcPr>
                  <w:tcW w:w="984" w:type="dxa"/>
                  <w:vAlign w:val="center"/>
                </w:tcPr>
                <w:p>
                  <w:pPr>
                    <w:adjustRightInd w:val="0"/>
                    <w:snapToGrid w:val="0"/>
                    <w:jc w:val="center"/>
                    <w:rPr>
                      <w:color w:val="auto"/>
                      <w:sz w:val="21"/>
                      <w:szCs w:val="21"/>
                    </w:rPr>
                  </w:pPr>
                  <w:r>
                    <w:rPr>
                      <w:rFonts w:hint="eastAsia"/>
                      <w:color w:val="auto"/>
                      <w:sz w:val="21"/>
                      <w:szCs w:val="21"/>
                    </w:rPr>
                    <w:t>新建</w:t>
                  </w:r>
                </w:p>
              </w:tc>
            </w:tr>
          </w:tbl>
          <w:p>
            <w:pPr>
              <w:pStyle w:val="51"/>
              <w:numPr>
                <w:ilvl w:val="0"/>
                <w:numId w:val="6"/>
              </w:numPr>
              <w:ind w:firstLine="482"/>
              <w:rPr>
                <w:b/>
                <w:bCs/>
                <w:color w:val="auto"/>
              </w:rPr>
            </w:pPr>
            <w:r>
              <w:rPr>
                <w:b/>
                <w:bCs/>
                <w:color w:val="auto"/>
              </w:rPr>
              <w:t>主要设备</w:t>
            </w:r>
          </w:p>
          <w:p>
            <w:pPr>
              <w:pStyle w:val="51"/>
              <w:ind w:firstLine="480"/>
              <w:rPr>
                <w:color w:val="auto"/>
              </w:rPr>
            </w:pPr>
            <w:r>
              <w:rPr>
                <w:color w:val="auto"/>
              </w:rPr>
              <w:t>本项目主要设备详见下表。</w:t>
            </w:r>
          </w:p>
          <w:p>
            <w:pPr>
              <w:pStyle w:val="55"/>
              <w:numPr>
                <w:ilvl w:val="0"/>
                <w:numId w:val="0"/>
              </w:numPr>
              <w:rPr>
                <w:color w:val="auto"/>
              </w:rPr>
            </w:pPr>
            <w:r>
              <w:rPr>
                <w:rFonts w:ascii="宋体" w:hAnsi="宋体" w:cs="宋体"/>
                <w:color w:val="auto"/>
              </w:rPr>
              <w:t>表2-</w:t>
            </w:r>
            <w:r>
              <w:rPr>
                <w:rFonts w:hint="eastAsia" w:ascii="宋体" w:hAnsi="宋体" w:cs="宋体"/>
                <w:color w:val="auto"/>
                <w:lang w:val="en-US" w:eastAsia="zh-CN"/>
              </w:rPr>
              <w:t>2</w:t>
            </w:r>
            <w:r>
              <w:rPr>
                <w:color w:val="auto"/>
              </w:rPr>
              <w:t xml:space="preserve"> </w:t>
            </w:r>
            <w:r>
              <w:rPr>
                <w:rFonts w:hint="eastAsia"/>
                <w:color w:val="auto"/>
              </w:rPr>
              <w:t xml:space="preserve"> </w:t>
            </w:r>
            <w:r>
              <w:rPr>
                <w:color w:val="auto"/>
              </w:rPr>
              <w:t>主要生产设备一览表</w:t>
            </w:r>
          </w:p>
          <w:tbl>
            <w:tblPr>
              <w:tblStyle w:val="30"/>
              <w:tblW w:w="7860"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83"/>
              <w:gridCol w:w="3202"/>
              <w:gridCol w:w="1845"/>
              <w:gridCol w:w="1466"/>
              <w:gridCol w:w="66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noWrap/>
                  <w:tcMar>
                    <w:top w:w="15" w:type="dxa"/>
                    <w:left w:w="15" w:type="dxa"/>
                    <w:right w:w="15" w:type="dxa"/>
                  </w:tcMar>
                  <w:vAlign w:val="center"/>
                </w:tcPr>
                <w:p>
                  <w:pPr>
                    <w:widowControl/>
                    <w:jc w:val="center"/>
                    <w:textAlignment w:val="center"/>
                    <w:rPr>
                      <w:b/>
                      <w:color w:val="auto"/>
                      <w:sz w:val="21"/>
                      <w:szCs w:val="21"/>
                    </w:rPr>
                  </w:pPr>
                  <w:r>
                    <w:rPr>
                      <w:rFonts w:hint="eastAsia"/>
                      <w:b/>
                      <w:color w:val="auto"/>
                      <w:sz w:val="21"/>
                      <w:szCs w:val="21"/>
                    </w:rPr>
                    <w:t>序号</w:t>
                  </w:r>
                </w:p>
              </w:tc>
              <w:tc>
                <w:tcPr>
                  <w:tcW w:w="3202" w:type="dxa"/>
                  <w:tcBorders>
                    <w:tl2br w:val="nil"/>
                    <w:tr2bl w:val="nil"/>
                  </w:tcBorders>
                  <w:vAlign w:val="center"/>
                </w:tcPr>
                <w:p>
                  <w:pPr>
                    <w:jc w:val="center"/>
                    <w:rPr>
                      <w:b/>
                      <w:color w:val="auto"/>
                      <w:sz w:val="21"/>
                      <w:szCs w:val="21"/>
                    </w:rPr>
                  </w:pPr>
                  <w:r>
                    <w:rPr>
                      <w:rFonts w:hint="eastAsia"/>
                      <w:b/>
                      <w:color w:val="auto"/>
                      <w:sz w:val="21"/>
                      <w:szCs w:val="21"/>
                    </w:rPr>
                    <w:t>设备名称</w:t>
                  </w:r>
                </w:p>
              </w:tc>
              <w:tc>
                <w:tcPr>
                  <w:tcW w:w="1845" w:type="dxa"/>
                  <w:tcBorders>
                    <w:tl2br w:val="nil"/>
                    <w:tr2bl w:val="nil"/>
                  </w:tcBorders>
                  <w:noWrap/>
                  <w:tcMar>
                    <w:top w:w="15" w:type="dxa"/>
                    <w:left w:w="15" w:type="dxa"/>
                    <w:right w:w="15" w:type="dxa"/>
                  </w:tcMar>
                  <w:vAlign w:val="center"/>
                </w:tcPr>
                <w:p>
                  <w:pPr>
                    <w:jc w:val="center"/>
                    <w:rPr>
                      <w:b/>
                      <w:color w:val="auto"/>
                      <w:sz w:val="21"/>
                      <w:szCs w:val="21"/>
                    </w:rPr>
                  </w:pPr>
                  <w:r>
                    <w:rPr>
                      <w:rFonts w:hint="eastAsia"/>
                      <w:b/>
                      <w:color w:val="auto"/>
                      <w:sz w:val="21"/>
                      <w:szCs w:val="21"/>
                    </w:rPr>
                    <w:t>规格型号</w:t>
                  </w:r>
                </w:p>
              </w:tc>
              <w:tc>
                <w:tcPr>
                  <w:tcW w:w="1466" w:type="dxa"/>
                  <w:tcBorders>
                    <w:tl2br w:val="nil"/>
                    <w:tr2bl w:val="nil"/>
                  </w:tcBorders>
                  <w:noWrap/>
                  <w:tcMar>
                    <w:top w:w="15" w:type="dxa"/>
                    <w:left w:w="15" w:type="dxa"/>
                    <w:right w:w="15" w:type="dxa"/>
                  </w:tcMar>
                  <w:vAlign w:val="center"/>
                </w:tcPr>
                <w:p>
                  <w:pPr>
                    <w:jc w:val="center"/>
                    <w:rPr>
                      <w:b/>
                      <w:color w:val="auto"/>
                      <w:sz w:val="21"/>
                      <w:szCs w:val="21"/>
                    </w:rPr>
                  </w:pPr>
                  <w:r>
                    <w:rPr>
                      <w:rFonts w:hint="eastAsia"/>
                      <w:b/>
                      <w:color w:val="auto"/>
                      <w:sz w:val="21"/>
                      <w:szCs w:val="21"/>
                    </w:rPr>
                    <w:t>数量（套/台）</w:t>
                  </w:r>
                </w:p>
              </w:tc>
              <w:tc>
                <w:tcPr>
                  <w:tcW w:w="664" w:type="dxa"/>
                  <w:tcBorders>
                    <w:tl2br w:val="nil"/>
                    <w:tr2bl w:val="nil"/>
                  </w:tcBorders>
                  <w:vAlign w:val="center"/>
                </w:tcPr>
                <w:p>
                  <w:pPr>
                    <w:jc w:val="center"/>
                    <w:rPr>
                      <w:b/>
                      <w:color w:val="auto"/>
                      <w:sz w:val="21"/>
                      <w:szCs w:val="21"/>
                    </w:rPr>
                  </w:pPr>
                  <w:r>
                    <w:rPr>
                      <w:rFonts w:hint="eastAsia"/>
                      <w:b/>
                      <w:color w:val="auto"/>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1</w:t>
                  </w:r>
                </w:p>
              </w:tc>
              <w:tc>
                <w:tcPr>
                  <w:tcW w:w="3202" w:type="dxa"/>
                  <w:tcBorders>
                    <w:tl2br w:val="nil"/>
                    <w:tr2bl w:val="nil"/>
                  </w:tcBorders>
                  <w:vAlign w:val="center"/>
                </w:tcPr>
                <w:p>
                  <w:pPr>
                    <w:widowControl/>
                    <w:jc w:val="center"/>
                    <w:textAlignment w:val="center"/>
                    <w:rPr>
                      <w:color w:val="auto"/>
                      <w:sz w:val="21"/>
                      <w:szCs w:val="21"/>
                    </w:rPr>
                  </w:pPr>
                  <w:r>
                    <w:rPr>
                      <w:rFonts w:hint="eastAsia"/>
                      <w:color w:val="auto"/>
                      <w:sz w:val="21"/>
                      <w:szCs w:val="21"/>
                    </w:rPr>
                    <w:t>沥青</w:t>
                  </w:r>
                  <w:r>
                    <w:rPr>
                      <w:rFonts w:hint="eastAsia"/>
                      <w:color w:val="auto"/>
                      <w:sz w:val="21"/>
                      <w:szCs w:val="21"/>
                      <w:lang w:eastAsia="zh-CN"/>
                    </w:rPr>
                    <w:t>拌和</w:t>
                  </w:r>
                  <w:r>
                    <w:rPr>
                      <w:rFonts w:hint="eastAsia"/>
                      <w:color w:val="auto"/>
                      <w:sz w:val="21"/>
                      <w:szCs w:val="21"/>
                    </w:rPr>
                    <w:t>装置</w:t>
                  </w:r>
                </w:p>
              </w:tc>
              <w:tc>
                <w:tcPr>
                  <w:tcW w:w="1845"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w:t>
                  </w:r>
                </w:p>
              </w:tc>
              <w:tc>
                <w:tcPr>
                  <w:tcW w:w="1466"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1</w:t>
                  </w:r>
                </w:p>
              </w:tc>
              <w:tc>
                <w:tcPr>
                  <w:tcW w:w="664" w:type="dxa"/>
                  <w:tcBorders>
                    <w:tl2br w:val="nil"/>
                    <w:tr2bl w:val="nil"/>
                  </w:tcBorders>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2</w:t>
                  </w:r>
                </w:p>
              </w:tc>
              <w:tc>
                <w:tcPr>
                  <w:tcW w:w="3202" w:type="dxa"/>
                  <w:tcBorders>
                    <w:tl2br w:val="nil"/>
                    <w:tr2bl w:val="nil"/>
                  </w:tcBorders>
                  <w:vAlign w:val="center"/>
                </w:tcPr>
                <w:p>
                  <w:pPr>
                    <w:widowControl/>
                    <w:jc w:val="center"/>
                    <w:textAlignment w:val="center"/>
                    <w:rPr>
                      <w:color w:val="auto"/>
                      <w:sz w:val="21"/>
                      <w:szCs w:val="21"/>
                    </w:rPr>
                  </w:pPr>
                  <w:r>
                    <w:rPr>
                      <w:rFonts w:hint="eastAsia"/>
                      <w:color w:val="auto"/>
                      <w:sz w:val="21"/>
                      <w:szCs w:val="21"/>
                    </w:rPr>
                    <w:t>干燥滚筒</w:t>
                  </w:r>
                </w:p>
              </w:tc>
              <w:tc>
                <w:tcPr>
                  <w:tcW w:w="1845"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w:t>
                  </w:r>
                </w:p>
              </w:tc>
              <w:tc>
                <w:tcPr>
                  <w:tcW w:w="1466"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1</w:t>
                  </w:r>
                </w:p>
              </w:tc>
              <w:tc>
                <w:tcPr>
                  <w:tcW w:w="664" w:type="dxa"/>
                  <w:tcBorders>
                    <w:tl2br w:val="nil"/>
                    <w:tr2bl w:val="nil"/>
                  </w:tcBorders>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3</w:t>
                  </w:r>
                </w:p>
              </w:tc>
              <w:tc>
                <w:tcPr>
                  <w:tcW w:w="3202" w:type="dxa"/>
                  <w:tcBorders>
                    <w:tl2br w:val="nil"/>
                    <w:tr2bl w:val="nil"/>
                  </w:tcBorders>
                  <w:vAlign w:val="center"/>
                </w:tcPr>
                <w:p>
                  <w:pPr>
                    <w:widowControl/>
                    <w:jc w:val="center"/>
                    <w:textAlignment w:val="center"/>
                    <w:rPr>
                      <w:color w:val="auto"/>
                      <w:sz w:val="21"/>
                      <w:szCs w:val="21"/>
                    </w:rPr>
                  </w:pPr>
                  <w:r>
                    <w:rPr>
                      <w:rFonts w:hint="eastAsia"/>
                      <w:color w:val="auto"/>
                      <w:sz w:val="21"/>
                      <w:szCs w:val="21"/>
                    </w:rPr>
                    <w:t>燃气燃烧器</w:t>
                  </w:r>
                </w:p>
              </w:tc>
              <w:tc>
                <w:tcPr>
                  <w:tcW w:w="1845"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w:t>
                  </w:r>
                </w:p>
              </w:tc>
              <w:tc>
                <w:tcPr>
                  <w:tcW w:w="1466"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1</w:t>
                  </w:r>
                </w:p>
              </w:tc>
              <w:tc>
                <w:tcPr>
                  <w:tcW w:w="664" w:type="dxa"/>
                  <w:tcBorders>
                    <w:tl2br w:val="nil"/>
                    <w:tr2bl w:val="nil"/>
                  </w:tcBorders>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4</w:t>
                  </w:r>
                </w:p>
              </w:tc>
              <w:tc>
                <w:tcPr>
                  <w:tcW w:w="3202" w:type="dxa"/>
                  <w:tcBorders>
                    <w:tl2br w:val="nil"/>
                    <w:tr2bl w:val="nil"/>
                  </w:tcBorders>
                  <w:vAlign w:val="center"/>
                </w:tcPr>
                <w:p>
                  <w:pPr>
                    <w:widowControl/>
                    <w:jc w:val="center"/>
                    <w:textAlignment w:val="center"/>
                    <w:rPr>
                      <w:color w:val="auto"/>
                      <w:sz w:val="21"/>
                      <w:szCs w:val="21"/>
                    </w:rPr>
                  </w:pPr>
                  <w:r>
                    <w:rPr>
                      <w:rFonts w:hint="eastAsia"/>
                      <w:color w:val="auto"/>
                      <w:sz w:val="21"/>
                      <w:szCs w:val="21"/>
                    </w:rPr>
                    <w:t>导热油炉</w:t>
                  </w:r>
                </w:p>
              </w:tc>
              <w:tc>
                <w:tcPr>
                  <w:tcW w:w="1845" w:type="dxa"/>
                  <w:tcBorders>
                    <w:tl2br w:val="nil"/>
                    <w:tr2bl w:val="nil"/>
                  </w:tcBorders>
                  <w:noWrap/>
                  <w:tcMar>
                    <w:top w:w="15" w:type="dxa"/>
                    <w:left w:w="15" w:type="dxa"/>
                    <w:right w:w="15" w:type="dxa"/>
                  </w:tcMar>
                  <w:vAlign w:val="center"/>
                </w:tcPr>
                <w:p>
                  <w:pPr>
                    <w:widowControl/>
                    <w:jc w:val="center"/>
                    <w:textAlignment w:val="center"/>
                    <w:rPr>
                      <w:rFonts w:hint="default"/>
                      <w:color w:val="auto"/>
                      <w:sz w:val="21"/>
                      <w:szCs w:val="21"/>
                      <w:lang w:val="en-US"/>
                    </w:rPr>
                  </w:pPr>
                  <w:r>
                    <w:rPr>
                      <w:rFonts w:hint="eastAsia"/>
                      <w:color w:val="auto"/>
                      <w:sz w:val="21"/>
                      <w:szCs w:val="21"/>
                      <w:lang w:val="en-US" w:eastAsia="zh-CN"/>
                    </w:rPr>
                    <w:t>1.5MW</w:t>
                  </w:r>
                </w:p>
              </w:tc>
              <w:tc>
                <w:tcPr>
                  <w:tcW w:w="1466"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1</w:t>
                  </w:r>
                </w:p>
              </w:tc>
              <w:tc>
                <w:tcPr>
                  <w:tcW w:w="664" w:type="dxa"/>
                  <w:tcBorders>
                    <w:tl2br w:val="nil"/>
                    <w:tr2bl w:val="nil"/>
                  </w:tcBorders>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w:t>
                  </w:r>
                </w:p>
              </w:tc>
              <w:tc>
                <w:tcPr>
                  <w:tcW w:w="3202" w:type="dxa"/>
                  <w:tcBorders>
                    <w:tl2br w:val="nil"/>
                    <w:tr2bl w:val="nil"/>
                  </w:tcBorders>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骨料筛分系统</w:t>
                  </w:r>
                </w:p>
              </w:tc>
              <w:tc>
                <w:tcPr>
                  <w:tcW w:w="1845" w:type="dxa"/>
                  <w:tcBorders>
                    <w:tl2br w:val="nil"/>
                    <w:tr2bl w:val="nil"/>
                  </w:tcBorders>
                  <w:noWrap/>
                  <w:tcMar>
                    <w:top w:w="15" w:type="dxa"/>
                    <w:left w:w="15" w:type="dxa"/>
                    <w:right w:w="15" w:type="dxa"/>
                  </w:tcMar>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c>
                <w:tcPr>
                  <w:tcW w:w="1466" w:type="dxa"/>
                  <w:tcBorders>
                    <w:tl2br w:val="nil"/>
                    <w:tr2bl w:val="nil"/>
                  </w:tcBorders>
                  <w:noWrap/>
                  <w:tcMar>
                    <w:top w:w="15" w:type="dxa"/>
                    <w:left w:w="15" w:type="dxa"/>
                    <w:right w:w="15" w:type="dxa"/>
                  </w:tcMar>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1</w:t>
                  </w:r>
                </w:p>
              </w:tc>
              <w:tc>
                <w:tcPr>
                  <w:tcW w:w="664" w:type="dxa"/>
                  <w:tcBorders>
                    <w:tl2br w:val="nil"/>
                    <w:tr2bl w:val="nil"/>
                  </w:tcBorders>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6</w:t>
                  </w:r>
                </w:p>
              </w:tc>
              <w:tc>
                <w:tcPr>
                  <w:tcW w:w="3202" w:type="dxa"/>
                  <w:tcBorders>
                    <w:tl2br w:val="nil"/>
                    <w:tr2bl w:val="nil"/>
                  </w:tcBorders>
                  <w:vAlign w:val="center"/>
                </w:tcPr>
                <w:p>
                  <w:pPr>
                    <w:widowControl/>
                    <w:jc w:val="center"/>
                    <w:textAlignment w:val="center"/>
                    <w:rPr>
                      <w:color w:val="auto"/>
                      <w:sz w:val="21"/>
                      <w:szCs w:val="21"/>
                    </w:rPr>
                  </w:pPr>
                  <w:r>
                    <w:rPr>
                      <w:rFonts w:hint="eastAsia"/>
                      <w:color w:val="auto"/>
                      <w:sz w:val="21"/>
                      <w:szCs w:val="21"/>
                    </w:rPr>
                    <w:t>沥青罐</w:t>
                  </w:r>
                </w:p>
              </w:tc>
              <w:tc>
                <w:tcPr>
                  <w:tcW w:w="1845"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w:t>
                  </w:r>
                </w:p>
              </w:tc>
              <w:tc>
                <w:tcPr>
                  <w:tcW w:w="1466" w:type="dxa"/>
                  <w:tcBorders>
                    <w:tl2br w:val="nil"/>
                    <w:tr2bl w:val="nil"/>
                  </w:tcBorders>
                  <w:noWrap/>
                  <w:tcMar>
                    <w:top w:w="15" w:type="dxa"/>
                    <w:left w:w="15" w:type="dxa"/>
                    <w:right w:w="15" w:type="dxa"/>
                  </w:tcMar>
                  <w:vAlign w:val="center"/>
                </w:tcPr>
                <w:p>
                  <w:pPr>
                    <w:widowControl/>
                    <w:jc w:val="center"/>
                    <w:textAlignment w:val="center"/>
                    <w:rPr>
                      <w:rFonts w:hint="eastAsia" w:eastAsia="宋体"/>
                      <w:color w:val="auto"/>
                      <w:sz w:val="21"/>
                      <w:szCs w:val="21"/>
                      <w:lang w:eastAsia="zh-CN"/>
                    </w:rPr>
                  </w:pPr>
                  <w:r>
                    <w:rPr>
                      <w:rFonts w:hint="eastAsia"/>
                      <w:color w:val="auto"/>
                      <w:sz w:val="21"/>
                      <w:szCs w:val="21"/>
                      <w:lang w:val="en-US" w:eastAsia="zh-CN"/>
                    </w:rPr>
                    <w:t>4</w:t>
                  </w:r>
                </w:p>
              </w:tc>
              <w:tc>
                <w:tcPr>
                  <w:tcW w:w="664" w:type="dxa"/>
                  <w:tcBorders>
                    <w:tl2br w:val="nil"/>
                    <w:tr2bl w:val="nil"/>
                  </w:tcBorders>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7</w:t>
                  </w:r>
                </w:p>
              </w:tc>
              <w:tc>
                <w:tcPr>
                  <w:tcW w:w="3202" w:type="dxa"/>
                  <w:tcBorders>
                    <w:tl2br w:val="nil"/>
                    <w:tr2bl w:val="nil"/>
                  </w:tcBorders>
                  <w:vAlign w:val="center"/>
                </w:tcPr>
                <w:p>
                  <w:pPr>
                    <w:widowControl/>
                    <w:jc w:val="center"/>
                    <w:textAlignment w:val="center"/>
                    <w:rPr>
                      <w:color w:val="auto"/>
                      <w:sz w:val="21"/>
                      <w:szCs w:val="21"/>
                    </w:rPr>
                  </w:pPr>
                  <w:r>
                    <w:rPr>
                      <w:rFonts w:hint="eastAsia"/>
                      <w:color w:val="auto"/>
                      <w:sz w:val="21"/>
                      <w:szCs w:val="21"/>
                    </w:rPr>
                    <w:t>矿粉仓</w:t>
                  </w:r>
                </w:p>
              </w:tc>
              <w:tc>
                <w:tcPr>
                  <w:tcW w:w="1845" w:type="dxa"/>
                  <w:tcBorders>
                    <w:tl2br w:val="nil"/>
                    <w:tr2bl w:val="nil"/>
                  </w:tcBorders>
                  <w:noWrap/>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w:t>
                  </w:r>
                </w:p>
              </w:tc>
              <w:tc>
                <w:tcPr>
                  <w:tcW w:w="1466" w:type="dxa"/>
                  <w:tcBorders>
                    <w:tl2br w:val="nil"/>
                    <w:tr2bl w:val="nil"/>
                  </w:tcBorders>
                  <w:noWrap/>
                  <w:tcMar>
                    <w:top w:w="15" w:type="dxa"/>
                    <w:left w:w="15" w:type="dxa"/>
                    <w:right w:w="15" w:type="dxa"/>
                  </w:tcMar>
                  <w:vAlign w:val="center"/>
                </w:tcPr>
                <w:p>
                  <w:pPr>
                    <w:widowControl/>
                    <w:jc w:val="center"/>
                    <w:textAlignment w:val="center"/>
                    <w:rPr>
                      <w:rFonts w:hint="eastAsia" w:eastAsia="宋体"/>
                      <w:color w:val="auto"/>
                      <w:sz w:val="21"/>
                      <w:szCs w:val="21"/>
                      <w:lang w:eastAsia="zh-CN"/>
                    </w:rPr>
                  </w:pPr>
                  <w:r>
                    <w:rPr>
                      <w:rFonts w:hint="eastAsia"/>
                      <w:color w:val="auto"/>
                      <w:sz w:val="21"/>
                      <w:szCs w:val="21"/>
                      <w:lang w:val="en-US" w:eastAsia="zh-CN"/>
                    </w:rPr>
                    <w:t>1</w:t>
                  </w:r>
                </w:p>
              </w:tc>
              <w:tc>
                <w:tcPr>
                  <w:tcW w:w="664" w:type="dxa"/>
                  <w:tcBorders>
                    <w:tl2br w:val="nil"/>
                    <w:tr2bl w:val="nil"/>
                  </w:tcBorders>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8</w:t>
                  </w:r>
                </w:p>
              </w:tc>
              <w:tc>
                <w:tcPr>
                  <w:tcW w:w="3202" w:type="dxa"/>
                  <w:tcBorders>
                    <w:tl2br w:val="nil"/>
                    <w:tr2bl w:val="nil"/>
                  </w:tcBorders>
                  <w:shd w:val="clear" w:color="auto" w:fill="auto"/>
                  <w:vAlign w:val="center"/>
                </w:tcPr>
                <w:p>
                  <w:pPr>
                    <w:widowControl/>
                    <w:jc w:val="center"/>
                    <w:textAlignment w:val="center"/>
                    <w:rPr>
                      <w:color w:val="auto"/>
                      <w:sz w:val="21"/>
                      <w:szCs w:val="21"/>
                    </w:rPr>
                  </w:pPr>
                  <w:r>
                    <w:rPr>
                      <w:rFonts w:hint="eastAsia"/>
                      <w:color w:val="auto"/>
                      <w:sz w:val="21"/>
                      <w:szCs w:val="21"/>
                    </w:rPr>
                    <w:t>布袋除尘器</w:t>
                  </w:r>
                </w:p>
              </w:tc>
              <w:tc>
                <w:tcPr>
                  <w:tcW w:w="1845" w:type="dxa"/>
                  <w:tcBorders>
                    <w:tl2br w:val="nil"/>
                    <w:tr2bl w:val="nil"/>
                  </w:tcBorders>
                  <w:shd w:val="clear" w:color="auto" w:fill="auto"/>
                  <w:noWrap/>
                  <w:tcMar>
                    <w:top w:w="15" w:type="dxa"/>
                    <w:left w:w="15" w:type="dxa"/>
                    <w:right w:w="15" w:type="dxa"/>
                  </w:tcMar>
                  <w:vAlign w:val="center"/>
                </w:tcPr>
                <w:p>
                  <w:pPr>
                    <w:widowControl/>
                    <w:jc w:val="center"/>
                    <w:textAlignment w:val="center"/>
                    <w:rPr>
                      <w:color w:val="auto"/>
                      <w:sz w:val="21"/>
                      <w:szCs w:val="21"/>
                      <w:lang w:bidi="ar"/>
                    </w:rPr>
                  </w:pPr>
                  <w:r>
                    <w:rPr>
                      <w:rFonts w:hint="eastAsia"/>
                      <w:color w:val="auto"/>
                      <w:sz w:val="21"/>
                      <w:szCs w:val="21"/>
                      <w:lang w:bidi="ar"/>
                    </w:rPr>
                    <w:t>/</w:t>
                  </w:r>
                </w:p>
              </w:tc>
              <w:tc>
                <w:tcPr>
                  <w:tcW w:w="146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eastAsia="宋体"/>
                      <w:color w:val="auto"/>
                      <w:sz w:val="21"/>
                      <w:szCs w:val="21"/>
                      <w:lang w:eastAsia="zh-CN"/>
                    </w:rPr>
                  </w:pPr>
                  <w:r>
                    <w:rPr>
                      <w:rFonts w:hint="eastAsia"/>
                      <w:color w:val="auto"/>
                      <w:sz w:val="21"/>
                      <w:szCs w:val="21"/>
                      <w:lang w:val="en-US" w:eastAsia="zh-CN"/>
                    </w:rPr>
                    <w:t>2</w:t>
                  </w:r>
                </w:p>
              </w:tc>
              <w:tc>
                <w:tcPr>
                  <w:tcW w:w="664" w:type="dxa"/>
                  <w:tcBorders>
                    <w:tl2br w:val="nil"/>
                    <w:tr2bl w:val="nil"/>
                  </w:tcBorders>
                  <w:shd w:val="clear" w:color="auto" w:fill="auto"/>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9</w:t>
                  </w:r>
                </w:p>
              </w:tc>
              <w:tc>
                <w:tcPr>
                  <w:tcW w:w="3202" w:type="dxa"/>
                  <w:tcBorders>
                    <w:tl2br w:val="nil"/>
                    <w:tr2bl w:val="nil"/>
                  </w:tcBorders>
                  <w:shd w:val="clear" w:color="auto" w:fill="auto"/>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旋风除尘器</w:t>
                  </w:r>
                </w:p>
              </w:tc>
              <w:tc>
                <w:tcPr>
                  <w:tcW w:w="184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eastAsia="宋体"/>
                      <w:color w:val="auto"/>
                      <w:sz w:val="21"/>
                      <w:szCs w:val="21"/>
                      <w:lang w:val="en-US" w:eastAsia="zh-CN" w:bidi="ar"/>
                    </w:rPr>
                  </w:pPr>
                  <w:r>
                    <w:rPr>
                      <w:rFonts w:hint="eastAsia"/>
                      <w:color w:val="auto"/>
                      <w:sz w:val="21"/>
                      <w:szCs w:val="21"/>
                      <w:lang w:val="en-US" w:eastAsia="zh-CN" w:bidi="ar"/>
                    </w:rPr>
                    <w:t>/</w:t>
                  </w:r>
                </w:p>
              </w:tc>
              <w:tc>
                <w:tcPr>
                  <w:tcW w:w="146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color w:val="auto"/>
                      <w:sz w:val="21"/>
                      <w:szCs w:val="21"/>
                      <w:lang w:val="en-US" w:eastAsia="zh-CN"/>
                    </w:rPr>
                  </w:pPr>
                  <w:r>
                    <w:rPr>
                      <w:rFonts w:hint="eastAsia"/>
                      <w:color w:val="auto"/>
                      <w:sz w:val="21"/>
                      <w:szCs w:val="21"/>
                      <w:lang w:val="en-US" w:eastAsia="zh-CN"/>
                    </w:rPr>
                    <w:t>1</w:t>
                  </w:r>
                </w:p>
              </w:tc>
              <w:tc>
                <w:tcPr>
                  <w:tcW w:w="664" w:type="dxa"/>
                  <w:tcBorders>
                    <w:tl2br w:val="nil"/>
                    <w:tr2bl w:val="nil"/>
                  </w:tcBorders>
                  <w:shd w:val="clear" w:color="auto" w:fill="auto"/>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exact"/>
                <w:jc w:val="center"/>
              </w:trPr>
              <w:tc>
                <w:tcPr>
                  <w:tcW w:w="683"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10</w:t>
                  </w:r>
                </w:p>
              </w:tc>
              <w:tc>
                <w:tcPr>
                  <w:tcW w:w="3202" w:type="dxa"/>
                  <w:tcBorders>
                    <w:tl2br w:val="nil"/>
                    <w:tr2bl w:val="nil"/>
                  </w:tcBorders>
                  <w:shd w:val="clear" w:color="auto" w:fill="auto"/>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燃烧器</w:t>
                  </w:r>
                </w:p>
              </w:tc>
              <w:tc>
                <w:tcPr>
                  <w:tcW w:w="184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eastAsia="宋体"/>
                      <w:color w:val="auto"/>
                      <w:sz w:val="21"/>
                      <w:szCs w:val="21"/>
                      <w:lang w:val="en-US" w:eastAsia="zh-CN" w:bidi="ar"/>
                    </w:rPr>
                  </w:pPr>
                  <w:r>
                    <w:rPr>
                      <w:rFonts w:hint="eastAsia"/>
                      <w:color w:val="auto"/>
                      <w:sz w:val="21"/>
                      <w:szCs w:val="21"/>
                      <w:lang w:val="en-US" w:eastAsia="zh-CN" w:bidi="ar"/>
                    </w:rPr>
                    <w:t>/</w:t>
                  </w:r>
                </w:p>
              </w:tc>
              <w:tc>
                <w:tcPr>
                  <w:tcW w:w="146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1</w:t>
                  </w:r>
                </w:p>
              </w:tc>
              <w:tc>
                <w:tcPr>
                  <w:tcW w:w="664" w:type="dxa"/>
                  <w:tcBorders>
                    <w:tl2br w:val="nil"/>
                    <w:tr2bl w:val="nil"/>
                  </w:tcBorders>
                  <w:shd w:val="clear" w:color="auto" w:fill="auto"/>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bl>
          <w:p>
            <w:pPr>
              <w:pStyle w:val="51"/>
              <w:numPr>
                <w:ilvl w:val="0"/>
                <w:numId w:val="6"/>
              </w:numPr>
              <w:ind w:firstLine="482"/>
              <w:rPr>
                <w:b/>
                <w:bCs/>
                <w:color w:val="auto"/>
              </w:rPr>
            </w:pPr>
            <w:r>
              <w:rPr>
                <w:rFonts w:hAnsi="宋体" w:cs="宋体"/>
                <w:b/>
                <w:bCs/>
                <w:color w:val="auto"/>
                <w:lang w:bidi="ar"/>
              </w:rPr>
              <w:t>产品及</w:t>
            </w:r>
            <w:r>
              <w:rPr>
                <w:rFonts w:hint="eastAsia" w:hAnsi="宋体" w:cs="宋体"/>
                <w:b/>
                <w:bCs/>
                <w:color w:val="auto"/>
                <w:lang w:bidi="ar"/>
              </w:rPr>
              <w:t>产能</w:t>
            </w:r>
          </w:p>
          <w:p>
            <w:pPr>
              <w:pStyle w:val="51"/>
              <w:ind w:firstLine="480"/>
              <w:rPr>
                <w:rFonts w:hAnsi="宋体" w:cs="宋体"/>
                <w:color w:val="auto"/>
                <w:lang w:bidi="ar"/>
              </w:rPr>
            </w:pPr>
            <w:r>
              <w:rPr>
                <w:rFonts w:hAnsi="宋体" w:cs="宋体"/>
                <w:color w:val="auto"/>
                <w:lang w:bidi="ar"/>
              </w:rPr>
              <w:t>本项目</w:t>
            </w:r>
            <w:r>
              <w:rPr>
                <w:rFonts w:hint="eastAsia" w:hAnsi="宋体" w:cs="宋体"/>
                <w:color w:val="auto"/>
                <w:lang w:bidi="ar"/>
              </w:rPr>
              <w:t>新建一条生产线，主要生产沥青混凝土</w:t>
            </w:r>
            <w:r>
              <w:rPr>
                <w:rFonts w:hint="eastAsia" w:hAnsi="宋体" w:cs="宋体"/>
                <w:color w:val="auto"/>
                <w:lang w:val="en-US" w:eastAsia="zh-CN" w:bidi="ar"/>
              </w:rPr>
              <w:t>约16</w:t>
            </w:r>
            <w:r>
              <w:rPr>
                <w:rFonts w:hint="eastAsia" w:hAnsi="宋体" w:cs="宋体"/>
                <w:color w:val="auto"/>
                <w:lang w:bidi="ar"/>
              </w:rPr>
              <w:t>万吨。</w:t>
            </w:r>
          </w:p>
          <w:p>
            <w:pPr>
              <w:jc w:val="center"/>
              <w:rPr>
                <w:rFonts w:hAnsi="宋体" w:cs="宋体"/>
                <w:b/>
                <w:bCs/>
                <w:color w:val="auto"/>
                <w:lang w:bidi="ar"/>
              </w:rPr>
            </w:pPr>
            <w:r>
              <w:rPr>
                <w:rFonts w:hint="eastAsia" w:hAnsi="宋体" w:cs="宋体"/>
                <w:b/>
                <w:bCs/>
                <w:color w:val="auto"/>
                <w:lang w:bidi="ar"/>
              </w:rPr>
              <w:t>表2-</w:t>
            </w:r>
            <w:r>
              <w:rPr>
                <w:rFonts w:hint="eastAsia" w:hAnsi="宋体" w:cs="宋体"/>
                <w:b/>
                <w:bCs/>
                <w:color w:val="auto"/>
                <w:lang w:val="en-US" w:eastAsia="zh-CN" w:bidi="ar"/>
              </w:rPr>
              <w:t>3</w:t>
            </w:r>
            <w:r>
              <w:rPr>
                <w:rFonts w:hint="eastAsia" w:hAnsi="宋体" w:cs="宋体"/>
                <w:b/>
                <w:bCs/>
                <w:color w:val="auto"/>
                <w:lang w:bidi="ar"/>
              </w:rPr>
              <w:t xml:space="preserve">  产品方案表</w:t>
            </w:r>
          </w:p>
          <w:tbl>
            <w:tblPr>
              <w:tblStyle w:val="81"/>
              <w:tblW w:w="8218" w:type="dxa"/>
              <w:tblInd w:w="2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38"/>
              <w:gridCol w:w="3881"/>
              <w:gridCol w:w="30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238" w:type="dxa"/>
                  <w:tcBorders>
                    <w:tl2br w:val="nil"/>
                    <w:tr2bl w:val="nil"/>
                  </w:tcBorders>
                </w:tcPr>
                <w:p>
                  <w:pPr>
                    <w:pStyle w:val="100"/>
                    <w:spacing w:before="145" w:line="229" w:lineRule="auto"/>
                    <w:ind w:left="417"/>
                    <w:rPr>
                      <w:rFonts w:ascii="Times New Roman" w:hAnsi="Times New Roman" w:cs="Times New Roman"/>
                      <w:color w:val="auto"/>
                      <w:sz w:val="21"/>
                      <w:szCs w:val="21"/>
                      <w:lang w:eastAsia="zh-CN"/>
                    </w:rPr>
                  </w:pPr>
                  <w:r>
                    <w:rPr>
                      <w:rFonts w:ascii="Times New Roman" w:hAnsi="Times New Roman" w:cs="Times New Roman"/>
                      <w:color w:val="auto"/>
                      <w:spacing w:val="5"/>
                      <w:sz w:val="21"/>
                      <w:szCs w:val="21"/>
                      <w:lang w:eastAsia="zh-CN"/>
                    </w:rPr>
                    <w:t>序号</w:t>
                  </w:r>
                </w:p>
              </w:tc>
              <w:tc>
                <w:tcPr>
                  <w:tcW w:w="3881" w:type="dxa"/>
                  <w:tcBorders>
                    <w:tl2br w:val="nil"/>
                    <w:tr2bl w:val="nil"/>
                  </w:tcBorders>
                </w:tcPr>
                <w:p>
                  <w:pPr>
                    <w:pStyle w:val="100"/>
                    <w:spacing w:before="145" w:line="228" w:lineRule="auto"/>
                    <w:jc w:val="center"/>
                    <w:rPr>
                      <w:rFonts w:ascii="Times New Roman" w:hAnsi="Times New Roman" w:cs="Times New Roman"/>
                      <w:color w:val="auto"/>
                      <w:sz w:val="21"/>
                      <w:szCs w:val="21"/>
                      <w:lang w:eastAsia="zh-CN"/>
                    </w:rPr>
                  </w:pPr>
                  <w:r>
                    <w:rPr>
                      <w:rFonts w:ascii="Times New Roman" w:hAnsi="Times New Roman" w:cs="Times New Roman"/>
                      <w:color w:val="auto"/>
                      <w:spacing w:val="7"/>
                      <w:sz w:val="21"/>
                      <w:szCs w:val="21"/>
                      <w:lang w:eastAsia="zh-CN"/>
                    </w:rPr>
                    <w:t>产品名称</w:t>
                  </w:r>
                </w:p>
              </w:tc>
              <w:tc>
                <w:tcPr>
                  <w:tcW w:w="3099" w:type="dxa"/>
                  <w:tcBorders>
                    <w:tl2br w:val="nil"/>
                    <w:tr2bl w:val="nil"/>
                  </w:tcBorders>
                </w:tcPr>
                <w:p>
                  <w:pPr>
                    <w:pStyle w:val="100"/>
                    <w:spacing w:before="145" w:line="228" w:lineRule="auto"/>
                    <w:jc w:val="center"/>
                    <w:rPr>
                      <w:rFonts w:ascii="Times New Roman" w:hAnsi="Times New Roman" w:cs="Times New Roman"/>
                      <w:color w:val="auto"/>
                      <w:sz w:val="21"/>
                      <w:szCs w:val="21"/>
                      <w:lang w:eastAsia="zh-CN"/>
                    </w:rPr>
                  </w:pPr>
                  <w:r>
                    <w:rPr>
                      <w:rFonts w:ascii="Times New Roman" w:hAnsi="Times New Roman" w:cs="Times New Roman"/>
                      <w:color w:val="auto"/>
                      <w:spacing w:val="5"/>
                      <w:sz w:val="21"/>
                      <w:szCs w:val="21"/>
                      <w:lang w:eastAsia="zh-CN"/>
                    </w:rPr>
                    <w:t>年产量</w:t>
                  </w:r>
                  <w:r>
                    <w:rPr>
                      <w:rFonts w:ascii="Times New Roman" w:hAnsi="Times New Roman" w:cs="Times New Roman"/>
                      <w:color w:val="auto"/>
                      <w:spacing w:val="-46"/>
                      <w:sz w:val="21"/>
                      <w:szCs w:val="21"/>
                      <w:lang w:eastAsia="zh-CN"/>
                    </w:rPr>
                    <w:t xml:space="preserve"> </w:t>
                  </w:r>
                  <w:r>
                    <w:rPr>
                      <w:rFonts w:ascii="Times New Roman" w:hAnsi="Times New Roman" w:cs="Times New Roman"/>
                      <w:color w:val="auto"/>
                      <w:spacing w:val="5"/>
                      <w:sz w:val="21"/>
                      <w:szCs w:val="21"/>
                      <w:lang w:eastAsia="zh-CN"/>
                    </w:rPr>
                    <w:t>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trPr>
              <w:tc>
                <w:tcPr>
                  <w:tcW w:w="1238" w:type="dxa"/>
                  <w:tcBorders>
                    <w:tl2br w:val="nil"/>
                    <w:tr2bl w:val="nil"/>
                  </w:tcBorders>
                </w:tcPr>
                <w:p>
                  <w:pPr>
                    <w:spacing w:before="117" w:line="195" w:lineRule="auto"/>
                    <w:ind w:left="590"/>
                    <w:rPr>
                      <w:color w:val="auto"/>
                      <w:sz w:val="21"/>
                      <w:szCs w:val="21"/>
                    </w:rPr>
                  </w:pPr>
                  <w:r>
                    <w:rPr>
                      <w:color w:val="auto"/>
                      <w:sz w:val="21"/>
                      <w:szCs w:val="21"/>
                    </w:rPr>
                    <w:t>1</w:t>
                  </w:r>
                </w:p>
              </w:tc>
              <w:tc>
                <w:tcPr>
                  <w:tcW w:w="3881" w:type="dxa"/>
                  <w:tcBorders>
                    <w:tl2br w:val="nil"/>
                    <w:tr2bl w:val="nil"/>
                  </w:tcBorders>
                </w:tcPr>
                <w:p>
                  <w:pPr>
                    <w:pStyle w:val="100"/>
                    <w:spacing w:before="81" w:line="227" w:lineRule="auto"/>
                    <w:jc w:val="center"/>
                    <w:rPr>
                      <w:rFonts w:ascii="Times New Roman" w:hAnsi="Times New Roman" w:cs="Times New Roman"/>
                      <w:color w:val="auto"/>
                      <w:sz w:val="21"/>
                      <w:szCs w:val="21"/>
                      <w:lang w:eastAsia="zh-CN"/>
                    </w:rPr>
                  </w:pPr>
                  <w:r>
                    <w:rPr>
                      <w:rFonts w:ascii="Times New Roman" w:hAnsi="Times New Roman" w:cs="Times New Roman"/>
                      <w:color w:val="auto"/>
                      <w:spacing w:val="8"/>
                      <w:sz w:val="21"/>
                      <w:szCs w:val="21"/>
                      <w:lang w:eastAsia="zh-CN"/>
                    </w:rPr>
                    <w:t>沥青混凝土</w:t>
                  </w:r>
                </w:p>
              </w:tc>
              <w:tc>
                <w:tcPr>
                  <w:tcW w:w="3099" w:type="dxa"/>
                  <w:tcBorders>
                    <w:tl2br w:val="nil"/>
                    <w:tr2bl w:val="nil"/>
                  </w:tcBorders>
                </w:tcPr>
                <w:p>
                  <w:pPr>
                    <w:spacing w:before="117" w:line="195" w:lineRule="auto"/>
                    <w:jc w:val="center"/>
                    <w:rPr>
                      <w:color w:val="auto"/>
                      <w:sz w:val="21"/>
                      <w:szCs w:val="21"/>
                    </w:rPr>
                  </w:pPr>
                  <w:r>
                    <w:rPr>
                      <w:rFonts w:hint="eastAsia"/>
                      <w:color w:val="auto"/>
                      <w:kern w:val="0"/>
                      <w:sz w:val="21"/>
                      <w:szCs w:val="21"/>
                      <w:lang w:val="en-US" w:eastAsia="zh-CN" w:bidi="ar"/>
                    </w:rPr>
                    <w:t>159963.528</w:t>
                  </w:r>
                </w:p>
              </w:tc>
            </w:tr>
          </w:tbl>
          <w:p>
            <w:pPr>
              <w:pStyle w:val="51"/>
              <w:numPr>
                <w:ilvl w:val="0"/>
                <w:numId w:val="6"/>
              </w:numPr>
              <w:ind w:firstLine="482"/>
              <w:rPr>
                <w:b/>
                <w:bCs/>
                <w:color w:val="auto"/>
              </w:rPr>
            </w:pPr>
            <w:r>
              <w:rPr>
                <w:b/>
                <w:bCs/>
                <w:color w:val="auto"/>
              </w:rPr>
              <w:t>原材料消耗</w:t>
            </w:r>
          </w:p>
          <w:p>
            <w:pPr>
              <w:pStyle w:val="51"/>
              <w:ind w:firstLine="480"/>
              <w:rPr>
                <w:rFonts w:hAnsi="宋体" w:cs="宋体"/>
                <w:color w:val="auto"/>
                <w:lang w:bidi="ar"/>
              </w:rPr>
            </w:pPr>
            <w:r>
              <w:rPr>
                <w:rFonts w:hint="eastAsia" w:hAnsi="宋体" w:cs="宋体"/>
                <w:color w:val="auto"/>
                <w:lang w:bidi="ar"/>
              </w:rPr>
              <w:t>本项目原料主要为骨料（碎石）、粉料（矿粉）、沥青等，均为外购，消耗量详见表2-</w:t>
            </w:r>
            <w:r>
              <w:rPr>
                <w:rFonts w:hint="eastAsia" w:hAnsi="宋体" w:cs="宋体"/>
                <w:color w:val="auto"/>
                <w:lang w:val="en-US" w:eastAsia="zh-CN" w:bidi="ar"/>
              </w:rPr>
              <w:t>4</w:t>
            </w:r>
            <w:r>
              <w:rPr>
                <w:rFonts w:hint="eastAsia" w:hAnsi="宋体" w:cs="宋体"/>
                <w:color w:val="auto"/>
                <w:lang w:bidi="ar"/>
              </w:rPr>
              <w:t>。</w:t>
            </w:r>
          </w:p>
          <w:p>
            <w:pPr>
              <w:jc w:val="center"/>
              <w:rPr>
                <w:rFonts w:hAnsi="宋体" w:cs="宋体"/>
                <w:b/>
                <w:bCs/>
                <w:color w:val="auto"/>
                <w:lang w:bidi="ar"/>
              </w:rPr>
            </w:pPr>
            <w:r>
              <w:rPr>
                <w:rFonts w:hint="eastAsia" w:hAnsi="宋体" w:cs="宋体"/>
                <w:b/>
                <w:bCs/>
                <w:color w:val="auto"/>
                <w:lang w:bidi="ar"/>
              </w:rPr>
              <w:t>表2-</w:t>
            </w:r>
            <w:r>
              <w:rPr>
                <w:rFonts w:hint="eastAsia" w:hAnsi="宋体" w:cs="宋体"/>
                <w:b/>
                <w:bCs/>
                <w:color w:val="auto"/>
                <w:lang w:val="en-US" w:eastAsia="zh-CN" w:bidi="ar"/>
              </w:rPr>
              <w:t>4</w:t>
            </w:r>
            <w:r>
              <w:rPr>
                <w:rFonts w:hint="eastAsia" w:hAnsi="宋体" w:cs="宋体"/>
                <w:b/>
                <w:bCs/>
                <w:color w:val="auto"/>
                <w:lang w:bidi="ar"/>
              </w:rPr>
              <w:t xml:space="preserve">  原辅材料消耗量一览表</w:t>
            </w:r>
          </w:p>
          <w:tbl>
            <w:tblPr>
              <w:tblStyle w:val="30"/>
              <w:tblW w:w="785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363"/>
              <w:gridCol w:w="1577"/>
              <w:gridCol w:w="1120"/>
              <w:gridCol w:w="17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00"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序号</w:t>
                  </w:r>
                </w:p>
              </w:tc>
              <w:tc>
                <w:tcPr>
                  <w:tcW w:w="2363"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原料名称</w:t>
                  </w:r>
                </w:p>
              </w:tc>
              <w:tc>
                <w:tcPr>
                  <w:tcW w:w="1577"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消耗量</w:t>
                  </w:r>
                </w:p>
              </w:tc>
              <w:tc>
                <w:tcPr>
                  <w:tcW w:w="1120"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单位</w:t>
                  </w:r>
                </w:p>
              </w:tc>
              <w:tc>
                <w:tcPr>
                  <w:tcW w:w="1797"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00"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1</w:t>
                  </w:r>
                </w:p>
              </w:tc>
              <w:tc>
                <w:tcPr>
                  <w:tcW w:w="2363"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沥青</w:t>
                  </w:r>
                </w:p>
              </w:tc>
              <w:tc>
                <w:tcPr>
                  <w:tcW w:w="1577" w:type="dxa"/>
                  <w:vAlign w:val="center"/>
                </w:tcPr>
                <w:p>
                  <w:pPr>
                    <w:widowControl/>
                    <w:jc w:val="center"/>
                    <w:textAlignment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10530</w:t>
                  </w:r>
                </w:p>
              </w:tc>
              <w:tc>
                <w:tcPr>
                  <w:tcW w:w="1120"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t/a</w:t>
                  </w:r>
                </w:p>
              </w:tc>
              <w:tc>
                <w:tcPr>
                  <w:tcW w:w="1797"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00"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2</w:t>
                  </w:r>
                </w:p>
              </w:tc>
              <w:tc>
                <w:tcPr>
                  <w:tcW w:w="2363"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石料</w:t>
                  </w:r>
                </w:p>
              </w:tc>
              <w:tc>
                <w:tcPr>
                  <w:tcW w:w="1577" w:type="dxa"/>
                  <w:vAlign w:val="center"/>
                </w:tcPr>
                <w:p>
                  <w:pPr>
                    <w:widowControl/>
                    <w:jc w:val="center"/>
                    <w:textAlignment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109442</w:t>
                  </w:r>
                </w:p>
              </w:tc>
              <w:tc>
                <w:tcPr>
                  <w:tcW w:w="1120"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t/a</w:t>
                  </w:r>
                </w:p>
              </w:tc>
              <w:tc>
                <w:tcPr>
                  <w:tcW w:w="1797"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00"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3</w:t>
                  </w:r>
                </w:p>
              </w:tc>
              <w:tc>
                <w:tcPr>
                  <w:tcW w:w="2363"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机制砂</w:t>
                  </w:r>
                </w:p>
              </w:tc>
              <w:tc>
                <w:tcPr>
                  <w:tcW w:w="1577" w:type="dxa"/>
                  <w:vAlign w:val="center"/>
                </w:tcPr>
                <w:p>
                  <w:pPr>
                    <w:widowControl/>
                    <w:jc w:val="center"/>
                    <w:textAlignment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32000</w:t>
                  </w:r>
                </w:p>
              </w:tc>
              <w:tc>
                <w:tcPr>
                  <w:tcW w:w="1120"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t/a</w:t>
                  </w:r>
                </w:p>
              </w:tc>
              <w:tc>
                <w:tcPr>
                  <w:tcW w:w="1797" w:type="dxa"/>
                  <w:vAlign w:val="center"/>
                </w:tcPr>
                <w:p>
                  <w:pPr>
                    <w:widowControl/>
                    <w:jc w:val="center"/>
                    <w:textAlignment w:val="center"/>
                    <w:rPr>
                      <w:rFonts w:hint="eastAsia" w:hAnsi="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00" w:type="dxa"/>
                  <w:vAlign w:val="center"/>
                </w:tcPr>
                <w:p>
                  <w:pPr>
                    <w:widowControl/>
                    <w:jc w:val="center"/>
                    <w:textAlignment w:val="center"/>
                    <w:rPr>
                      <w:rFonts w:hint="eastAsia" w:hAnsi="宋体" w:eastAsia="宋体" w:cs="宋体"/>
                      <w:color w:val="auto"/>
                      <w:sz w:val="21"/>
                      <w:szCs w:val="21"/>
                      <w:lang w:eastAsia="zh-CN"/>
                    </w:rPr>
                  </w:pPr>
                  <w:r>
                    <w:rPr>
                      <w:rFonts w:hint="eastAsia" w:hAnsi="宋体" w:cs="宋体"/>
                      <w:color w:val="auto"/>
                      <w:sz w:val="21"/>
                      <w:szCs w:val="21"/>
                      <w:lang w:val="en-US" w:eastAsia="zh-CN"/>
                    </w:rPr>
                    <w:t>4</w:t>
                  </w:r>
                </w:p>
              </w:tc>
              <w:tc>
                <w:tcPr>
                  <w:tcW w:w="2363"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矿粉</w:t>
                  </w:r>
                </w:p>
              </w:tc>
              <w:tc>
                <w:tcPr>
                  <w:tcW w:w="1577" w:type="dxa"/>
                  <w:vAlign w:val="center"/>
                </w:tcPr>
                <w:p>
                  <w:pPr>
                    <w:widowControl/>
                    <w:jc w:val="center"/>
                    <w:textAlignment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8028</w:t>
                  </w:r>
                </w:p>
              </w:tc>
              <w:tc>
                <w:tcPr>
                  <w:tcW w:w="1120"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t/a</w:t>
                  </w:r>
                </w:p>
              </w:tc>
              <w:tc>
                <w:tcPr>
                  <w:tcW w:w="1797"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00" w:type="dxa"/>
                  <w:shd w:val="clear" w:color="auto" w:fill="auto"/>
                  <w:vAlign w:val="center"/>
                </w:tcPr>
                <w:p>
                  <w:pPr>
                    <w:widowControl/>
                    <w:jc w:val="center"/>
                    <w:textAlignment w:val="center"/>
                    <w:rPr>
                      <w:rFonts w:hint="eastAsia" w:hAnsi="宋体" w:eastAsia="宋体" w:cs="宋体"/>
                      <w:color w:val="auto"/>
                      <w:sz w:val="21"/>
                      <w:szCs w:val="21"/>
                      <w:lang w:eastAsia="zh-CN"/>
                    </w:rPr>
                  </w:pPr>
                  <w:r>
                    <w:rPr>
                      <w:rFonts w:hint="eastAsia" w:hAnsi="宋体" w:cs="宋体"/>
                      <w:color w:val="auto"/>
                      <w:sz w:val="21"/>
                      <w:szCs w:val="21"/>
                      <w:lang w:val="en-US" w:eastAsia="zh-CN"/>
                    </w:rPr>
                    <w:t>5</w:t>
                  </w:r>
                </w:p>
              </w:tc>
              <w:tc>
                <w:tcPr>
                  <w:tcW w:w="2363" w:type="dxa"/>
                  <w:shd w:val="clear" w:color="auto" w:fill="auto"/>
                  <w:vAlign w:val="center"/>
                </w:tcPr>
                <w:p>
                  <w:pPr>
                    <w:widowControl/>
                    <w:jc w:val="center"/>
                    <w:textAlignment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柴油</w:t>
                  </w:r>
                </w:p>
              </w:tc>
              <w:tc>
                <w:tcPr>
                  <w:tcW w:w="1577" w:type="dxa"/>
                  <w:shd w:val="clear" w:color="auto" w:fill="auto"/>
                  <w:vAlign w:val="center"/>
                </w:tcPr>
                <w:p>
                  <w:pPr>
                    <w:widowControl/>
                    <w:jc w:val="center"/>
                    <w:textAlignment w:val="center"/>
                    <w:rPr>
                      <w:rFonts w:hAnsi="宋体" w:cs="宋体"/>
                      <w:color w:val="auto"/>
                      <w:sz w:val="21"/>
                      <w:szCs w:val="21"/>
                    </w:rPr>
                  </w:pPr>
                </w:p>
              </w:tc>
              <w:tc>
                <w:tcPr>
                  <w:tcW w:w="1120" w:type="dxa"/>
                  <w:shd w:val="clear" w:color="auto" w:fill="auto"/>
                  <w:vAlign w:val="center"/>
                </w:tcPr>
                <w:p>
                  <w:pPr>
                    <w:widowControl/>
                    <w:jc w:val="center"/>
                    <w:textAlignment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m</w:t>
                  </w:r>
                  <w:r>
                    <w:rPr>
                      <w:rFonts w:hint="eastAsia" w:hAnsi="宋体" w:cs="宋体"/>
                      <w:color w:val="auto"/>
                      <w:sz w:val="21"/>
                      <w:szCs w:val="21"/>
                      <w:vertAlign w:val="superscript"/>
                      <w:lang w:val="en-US" w:eastAsia="zh-CN"/>
                    </w:rPr>
                    <w:t>3</w:t>
                  </w:r>
                </w:p>
              </w:tc>
              <w:tc>
                <w:tcPr>
                  <w:tcW w:w="1797" w:type="dxa"/>
                  <w:shd w:val="clear" w:color="auto" w:fill="auto"/>
                  <w:vAlign w:val="center"/>
                </w:tcPr>
                <w:p>
                  <w:pPr>
                    <w:widowControl/>
                    <w:jc w:val="center"/>
                    <w:textAlignment w:val="center"/>
                    <w:rPr>
                      <w:rFonts w:hAnsi="宋体" w:cs="宋体"/>
                      <w:color w:val="auto"/>
                      <w:sz w:val="21"/>
                      <w:szCs w:val="21"/>
                    </w:rPr>
                  </w:pPr>
                  <w:r>
                    <w:rPr>
                      <w:rFonts w:hint="eastAsia" w:hAnsi="宋体" w:cs="宋体"/>
                      <w:color w:val="auto"/>
                      <w:sz w:val="21"/>
                      <w:szCs w:val="21"/>
                    </w:rPr>
                    <w:t>采购</w:t>
                  </w:r>
                </w:p>
              </w:tc>
            </w:tr>
          </w:tbl>
          <w:p>
            <w:pPr>
              <w:pStyle w:val="51"/>
              <w:ind w:firstLine="0" w:firstLineChars="0"/>
              <w:jc w:val="center"/>
              <w:rPr>
                <w:rFonts w:hAnsi="宋体" w:cs="宋体"/>
                <w:b/>
                <w:bCs/>
                <w:color w:val="auto"/>
                <w:lang w:bidi="ar"/>
              </w:rPr>
            </w:pPr>
            <w:r>
              <w:rPr>
                <w:rFonts w:hint="eastAsia" w:hAnsi="宋体" w:cs="宋体"/>
                <w:b/>
                <w:bCs/>
                <w:color w:val="auto"/>
                <w:lang w:bidi="ar"/>
              </w:rPr>
              <w:t>表2-</w:t>
            </w:r>
            <w:r>
              <w:rPr>
                <w:rFonts w:hint="eastAsia" w:hAnsi="宋体" w:cs="宋体"/>
                <w:b/>
                <w:bCs/>
                <w:color w:val="auto"/>
                <w:lang w:val="en-US" w:eastAsia="zh-CN" w:bidi="ar"/>
              </w:rPr>
              <w:t>5</w:t>
            </w:r>
            <w:r>
              <w:rPr>
                <w:rFonts w:hint="eastAsia" w:hAnsi="宋体" w:cs="宋体"/>
                <w:b/>
                <w:bCs/>
                <w:color w:val="auto"/>
                <w:lang w:bidi="ar"/>
              </w:rPr>
              <w:t xml:space="preserve">  物料平衡表</w:t>
            </w:r>
          </w:p>
          <w:tbl>
            <w:tblPr>
              <w:tblStyle w:val="30"/>
              <w:tblW w:w="78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763"/>
              <w:gridCol w:w="2162"/>
              <w:gridCol w:w="1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21" w:type="dxa"/>
                  <w:gridSpan w:val="2"/>
                  <w:vAlign w:val="center"/>
                </w:tcPr>
                <w:p>
                  <w:pPr>
                    <w:jc w:val="center"/>
                    <w:rPr>
                      <w:color w:val="auto"/>
                      <w:kern w:val="0"/>
                      <w:sz w:val="21"/>
                      <w:szCs w:val="21"/>
                    </w:rPr>
                  </w:pPr>
                  <w:r>
                    <w:rPr>
                      <w:color w:val="auto"/>
                      <w:kern w:val="0"/>
                      <w:sz w:val="21"/>
                      <w:szCs w:val="21"/>
                    </w:rPr>
                    <w:t>入方</w:t>
                  </w:r>
                </w:p>
              </w:tc>
              <w:tc>
                <w:tcPr>
                  <w:tcW w:w="4136" w:type="dxa"/>
                  <w:gridSpan w:val="2"/>
                  <w:vAlign w:val="center"/>
                </w:tcPr>
                <w:p>
                  <w:pPr>
                    <w:jc w:val="center"/>
                    <w:rPr>
                      <w:color w:val="auto"/>
                      <w:kern w:val="0"/>
                      <w:sz w:val="21"/>
                      <w:szCs w:val="21"/>
                    </w:rPr>
                  </w:pPr>
                  <w:r>
                    <w:rPr>
                      <w:color w:val="auto"/>
                      <w:kern w:val="0"/>
                      <w:sz w:val="21"/>
                      <w:szCs w:val="21"/>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58" w:type="dxa"/>
                  <w:vAlign w:val="center"/>
                </w:tcPr>
                <w:p>
                  <w:pPr>
                    <w:jc w:val="center"/>
                    <w:rPr>
                      <w:color w:val="auto"/>
                      <w:kern w:val="0"/>
                      <w:sz w:val="21"/>
                      <w:szCs w:val="21"/>
                    </w:rPr>
                  </w:pPr>
                  <w:r>
                    <w:rPr>
                      <w:color w:val="auto"/>
                      <w:kern w:val="0"/>
                      <w:sz w:val="21"/>
                      <w:szCs w:val="21"/>
                    </w:rPr>
                    <w:t>物料</w:t>
                  </w:r>
                </w:p>
              </w:tc>
              <w:tc>
                <w:tcPr>
                  <w:tcW w:w="1763" w:type="dxa"/>
                  <w:vAlign w:val="center"/>
                </w:tcPr>
                <w:p>
                  <w:pPr>
                    <w:jc w:val="center"/>
                    <w:rPr>
                      <w:color w:val="auto"/>
                      <w:kern w:val="0"/>
                      <w:sz w:val="21"/>
                      <w:szCs w:val="21"/>
                    </w:rPr>
                  </w:pPr>
                  <w:r>
                    <w:rPr>
                      <w:color w:val="auto"/>
                      <w:kern w:val="0"/>
                      <w:sz w:val="21"/>
                      <w:szCs w:val="21"/>
                    </w:rPr>
                    <w:t>数量，t/a</w:t>
                  </w:r>
                </w:p>
              </w:tc>
              <w:tc>
                <w:tcPr>
                  <w:tcW w:w="2162" w:type="dxa"/>
                  <w:vAlign w:val="center"/>
                </w:tcPr>
                <w:p>
                  <w:pPr>
                    <w:jc w:val="center"/>
                    <w:rPr>
                      <w:color w:val="auto"/>
                      <w:kern w:val="0"/>
                      <w:sz w:val="21"/>
                      <w:szCs w:val="21"/>
                    </w:rPr>
                  </w:pPr>
                  <w:r>
                    <w:rPr>
                      <w:color w:val="auto"/>
                      <w:kern w:val="0"/>
                      <w:sz w:val="21"/>
                      <w:szCs w:val="21"/>
                    </w:rPr>
                    <w:t>物料</w:t>
                  </w:r>
                </w:p>
              </w:tc>
              <w:tc>
                <w:tcPr>
                  <w:tcW w:w="1974" w:type="dxa"/>
                  <w:vAlign w:val="center"/>
                </w:tcPr>
                <w:p>
                  <w:pPr>
                    <w:jc w:val="center"/>
                    <w:rPr>
                      <w:color w:val="auto"/>
                      <w:kern w:val="0"/>
                      <w:sz w:val="21"/>
                      <w:szCs w:val="21"/>
                    </w:rPr>
                  </w:pPr>
                  <w:r>
                    <w:rPr>
                      <w:color w:val="auto"/>
                      <w:kern w:val="0"/>
                      <w:sz w:val="21"/>
                      <w:szCs w:val="21"/>
                    </w:rPr>
                    <w:t>数量，t/a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857" w:type="dxa"/>
                  <w:gridSpan w:val="4"/>
                  <w:vAlign w:val="center"/>
                </w:tcPr>
                <w:p>
                  <w:pPr>
                    <w:widowControl/>
                    <w:jc w:val="center"/>
                    <w:textAlignment w:val="center"/>
                    <w:rPr>
                      <w:color w:val="auto"/>
                      <w:kern w:val="0"/>
                      <w:sz w:val="21"/>
                      <w:szCs w:val="21"/>
                      <w:lang w:bidi="ar"/>
                    </w:rPr>
                  </w:pPr>
                  <w:r>
                    <w:rPr>
                      <w:color w:val="auto"/>
                      <w:kern w:val="0"/>
                      <w:sz w:val="21"/>
                      <w:szCs w:val="21"/>
                      <w:lang w:bidi="ar"/>
                    </w:rPr>
                    <w:t>沥青混凝土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58" w:type="dxa"/>
                  <w:vAlign w:val="center"/>
                </w:tcPr>
                <w:p>
                  <w:pPr>
                    <w:widowControl/>
                    <w:jc w:val="center"/>
                    <w:textAlignment w:val="center"/>
                    <w:rPr>
                      <w:bCs/>
                      <w:color w:val="auto"/>
                      <w:kern w:val="0"/>
                      <w:sz w:val="21"/>
                      <w:szCs w:val="21"/>
                    </w:rPr>
                  </w:pPr>
                  <w:r>
                    <w:rPr>
                      <w:rFonts w:hint="eastAsia" w:hAnsi="宋体" w:cs="宋体"/>
                      <w:color w:val="auto"/>
                      <w:sz w:val="21"/>
                      <w:szCs w:val="21"/>
                    </w:rPr>
                    <w:t>沥青</w:t>
                  </w:r>
                </w:p>
              </w:tc>
              <w:tc>
                <w:tcPr>
                  <w:tcW w:w="1763" w:type="dxa"/>
                  <w:vAlign w:val="center"/>
                </w:tcPr>
                <w:p>
                  <w:pPr>
                    <w:widowControl/>
                    <w:jc w:val="center"/>
                    <w:textAlignment w:val="center"/>
                    <w:rPr>
                      <w:color w:val="auto"/>
                      <w:kern w:val="0"/>
                      <w:sz w:val="21"/>
                      <w:szCs w:val="21"/>
                    </w:rPr>
                  </w:pPr>
                  <w:r>
                    <w:rPr>
                      <w:rFonts w:hint="eastAsia" w:hAnsi="宋体" w:cs="宋体"/>
                      <w:color w:val="auto"/>
                      <w:sz w:val="21"/>
                      <w:szCs w:val="21"/>
                      <w:lang w:val="en-US" w:eastAsia="zh-CN"/>
                    </w:rPr>
                    <w:t>10530</w:t>
                  </w:r>
                </w:p>
              </w:tc>
              <w:tc>
                <w:tcPr>
                  <w:tcW w:w="2162" w:type="dxa"/>
                  <w:vAlign w:val="center"/>
                </w:tcPr>
                <w:p>
                  <w:pPr>
                    <w:widowControl/>
                    <w:jc w:val="center"/>
                    <w:textAlignment w:val="center"/>
                    <w:rPr>
                      <w:color w:val="auto"/>
                      <w:kern w:val="0"/>
                      <w:sz w:val="21"/>
                      <w:szCs w:val="21"/>
                    </w:rPr>
                  </w:pPr>
                  <w:r>
                    <w:rPr>
                      <w:color w:val="auto"/>
                      <w:kern w:val="0"/>
                      <w:sz w:val="21"/>
                      <w:szCs w:val="21"/>
                      <w:lang w:bidi="ar"/>
                    </w:rPr>
                    <w:t>沥青混凝土</w:t>
                  </w:r>
                </w:p>
              </w:tc>
              <w:tc>
                <w:tcPr>
                  <w:tcW w:w="1974" w:type="dxa"/>
                  <w:vAlign w:val="center"/>
                </w:tcPr>
                <w:p>
                  <w:pPr>
                    <w:widowControl/>
                    <w:jc w:val="center"/>
                    <w:textAlignment w:val="center"/>
                    <w:rPr>
                      <w:color w:val="auto"/>
                      <w:kern w:val="0"/>
                      <w:sz w:val="21"/>
                      <w:szCs w:val="21"/>
                      <w:lang w:bidi="ar"/>
                    </w:rPr>
                  </w:pPr>
                  <w:r>
                    <w:rPr>
                      <w:rFonts w:hint="eastAsia"/>
                      <w:color w:val="auto"/>
                      <w:kern w:val="0"/>
                      <w:sz w:val="21"/>
                      <w:szCs w:val="21"/>
                      <w:lang w:val="en-US" w:eastAsia="zh-CN" w:bidi="ar"/>
                    </w:rPr>
                    <w:t>159963.528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58" w:type="dxa"/>
                  <w:vAlign w:val="center"/>
                </w:tcPr>
                <w:p>
                  <w:pPr>
                    <w:widowControl/>
                    <w:jc w:val="center"/>
                    <w:textAlignment w:val="center"/>
                    <w:rPr>
                      <w:bCs/>
                      <w:color w:val="auto"/>
                      <w:kern w:val="0"/>
                      <w:sz w:val="21"/>
                      <w:szCs w:val="21"/>
                    </w:rPr>
                  </w:pPr>
                  <w:r>
                    <w:rPr>
                      <w:rFonts w:hint="eastAsia" w:hAnsi="宋体" w:cs="宋体"/>
                      <w:color w:val="auto"/>
                      <w:sz w:val="21"/>
                      <w:szCs w:val="21"/>
                    </w:rPr>
                    <w:t>石料</w:t>
                  </w:r>
                </w:p>
              </w:tc>
              <w:tc>
                <w:tcPr>
                  <w:tcW w:w="1763" w:type="dxa"/>
                  <w:vAlign w:val="center"/>
                </w:tcPr>
                <w:p>
                  <w:pPr>
                    <w:widowControl/>
                    <w:jc w:val="center"/>
                    <w:textAlignment w:val="center"/>
                    <w:rPr>
                      <w:color w:val="auto"/>
                      <w:kern w:val="0"/>
                      <w:sz w:val="21"/>
                      <w:szCs w:val="21"/>
                    </w:rPr>
                  </w:pPr>
                  <w:r>
                    <w:rPr>
                      <w:rFonts w:hint="eastAsia" w:hAnsi="宋体" w:cs="宋体"/>
                      <w:color w:val="auto"/>
                      <w:sz w:val="21"/>
                      <w:szCs w:val="21"/>
                      <w:lang w:val="en-US" w:eastAsia="zh-CN"/>
                    </w:rPr>
                    <w:t>109442</w:t>
                  </w:r>
                </w:p>
              </w:tc>
              <w:tc>
                <w:tcPr>
                  <w:tcW w:w="2162" w:type="dxa"/>
                  <w:vAlign w:val="center"/>
                </w:tcPr>
                <w:p>
                  <w:pPr>
                    <w:widowControl/>
                    <w:jc w:val="center"/>
                    <w:textAlignment w:val="center"/>
                    <w:rPr>
                      <w:color w:val="auto"/>
                      <w:kern w:val="0"/>
                      <w:sz w:val="21"/>
                      <w:szCs w:val="21"/>
                    </w:rPr>
                  </w:pPr>
                  <w:r>
                    <w:rPr>
                      <w:color w:val="auto"/>
                      <w:kern w:val="0"/>
                      <w:sz w:val="21"/>
                      <w:szCs w:val="21"/>
                      <w:lang w:bidi="ar"/>
                    </w:rPr>
                    <w:t>石料烘干工序粉尘</w:t>
                  </w:r>
                </w:p>
              </w:tc>
              <w:tc>
                <w:tcPr>
                  <w:tcW w:w="1974" w:type="dxa"/>
                  <w:vAlign w:val="center"/>
                </w:tcPr>
                <w:p>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35.361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58" w:type="dxa"/>
                  <w:vAlign w:val="center"/>
                </w:tcPr>
                <w:p>
                  <w:pPr>
                    <w:widowControl/>
                    <w:jc w:val="center"/>
                    <w:textAlignment w:val="center"/>
                    <w:rPr>
                      <w:bCs/>
                      <w:color w:val="auto"/>
                      <w:kern w:val="0"/>
                      <w:sz w:val="21"/>
                      <w:szCs w:val="21"/>
                    </w:rPr>
                  </w:pPr>
                  <w:r>
                    <w:rPr>
                      <w:rFonts w:hint="eastAsia" w:hAnsi="宋体" w:cs="宋体"/>
                      <w:color w:val="auto"/>
                      <w:sz w:val="21"/>
                      <w:szCs w:val="21"/>
                      <w:lang w:val="en-US" w:eastAsia="zh-CN"/>
                    </w:rPr>
                    <w:t>机制砂</w:t>
                  </w:r>
                </w:p>
              </w:tc>
              <w:tc>
                <w:tcPr>
                  <w:tcW w:w="1763" w:type="dxa"/>
                  <w:vAlign w:val="center"/>
                </w:tcPr>
                <w:p>
                  <w:pPr>
                    <w:widowControl/>
                    <w:jc w:val="center"/>
                    <w:textAlignment w:val="center"/>
                    <w:rPr>
                      <w:color w:val="auto"/>
                      <w:kern w:val="0"/>
                      <w:sz w:val="21"/>
                      <w:szCs w:val="21"/>
                    </w:rPr>
                  </w:pPr>
                  <w:r>
                    <w:rPr>
                      <w:rFonts w:hint="eastAsia" w:hAnsi="宋体" w:cs="宋体"/>
                      <w:color w:val="auto"/>
                      <w:sz w:val="21"/>
                      <w:szCs w:val="21"/>
                      <w:lang w:val="en-US" w:eastAsia="zh-CN"/>
                    </w:rPr>
                    <w:t>32000</w:t>
                  </w:r>
                </w:p>
              </w:tc>
              <w:tc>
                <w:tcPr>
                  <w:tcW w:w="2162" w:type="dxa"/>
                  <w:shd w:val="clear" w:color="auto" w:fill="auto"/>
                  <w:vAlign w:val="center"/>
                </w:tcPr>
                <w:p>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 w:val="21"/>
                      <w:szCs w:val="21"/>
                      <w:lang w:bidi="ar"/>
                    </w:rPr>
                    <w:t>矿粉</w:t>
                  </w:r>
                  <w:r>
                    <w:rPr>
                      <w:rFonts w:hint="eastAsia"/>
                      <w:color w:val="auto"/>
                      <w:kern w:val="0"/>
                      <w:sz w:val="21"/>
                      <w:szCs w:val="21"/>
                      <w:lang w:val="en-US" w:eastAsia="zh-CN" w:bidi="ar"/>
                    </w:rPr>
                    <w:t>筒仓</w:t>
                  </w:r>
                  <w:r>
                    <w:rPr>
                      <w:color w:val="auto"/>
                      <w:kern w:val="0"/>
                      <w:sz w:val="21"/>
                      <w:szCs w:val="21"/>
                      <w:lang w:bidi="ar"/>
                    </w:rPr>
                    <w:t>粉尘</w:t>
                  </w:r>
                </w:p>
              </w:tc>
              <w:tc>
                <w:tcPr>
                  <w:tcW w:w="1974" w:type="dxa"/>
                  <w:vAlign w:val="center"/>
                </w:tcPr>
                <w:p>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0.963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58" w:type="dxa"/>
                  <w:vAlign w:val="center"/>
                </w:tcPr>
                <w:p>
                  <w:pPr>
                    <w:widowControl/>
                    <w:jc w:val="center"/>
                    <w:textAlignment w:val="center"/>
                    <w:rPr>
                      <w:bCs/>
                      <w:color w:val="auto"/>
                      <w:sz w:val="21"/>
                      <w:szCs w:val="21"/>
                    </w:rPr>
                  </w:pPr>
                  <w:r>
                    <w:rPr>
                      <w:rFonts w:hint="eastAsia" w:hAnsi="宋体" w:cs="宋体"/>
                      <w:color w:val="auto"/>
                      <w:sz w:val="21"/>
                      <w:szCs w:val="21"/>
                    </w:rPr>
                    <w:t>矿粉</w:t>
                  </w:r>
                </w:p>
              </w:tc>
              <w:tc>
                <w:tcPr>
                  <w:tcW w:w="1763" w:type="dxa"/>
                  <w:vAlign w:val="center"/>
                </w:tcPr>
                <w:p>
                  <w:pPr>
                    <w:widowControl/>
                    <w:jc w:val="center"/>
                    <w:textAlignment w:val="center"/>
                    <w:rPr>
                      <w:color w:val="auto"/>
                      <w:kern w:val="0"/>
                      <w:sz w:val="21"/>
                      <w:szCs w:val="21"/>
                      <w:lang w:bidi="ar"/>
                    </w:rPr>
                  </w:pPr>
                  <w:r>
                    <w:rPr>
                      <w:rFonts w:hint="eastAsia" w:hAnsi="宋体" w:cs="宋体"/>
                      <w:color w:val="auto"/>
                      <w:sz w:val="21"/>
                      <w:szCs w:val="21"/>
                      <w:lang w:val="en-US" w:eastAsia="zh-CN"/>
                    </w:rPr>
                    <w:t>8028</w:t>
                  </w:r>
                </w:p>
              </w:tc>
              <w:tc>
                <w:tcPr>
                  <w:tcW w:w="2162" w:type="dxa"/>
                  <w:shd w:val="clear" w:color="auto" w:fill="auto"/>
                  <w:vAlign w:val="center"/>
                </w:tcPr>
                <w:p>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 w:val="21"/>
                      <w:szCs w:val="21"/>
                      <w:lang w:bidi="ar"/>
                    </w:rPr>
                    <w:t>石料堆放粉尘</w:t>
                  </w:r>
                </w:p>
              </w:tc>
              <w:tc>
                <w:tcPr>
                  <w:tcW w:w="1974" w:type="dxa"/>
                  <w:vAlign w:val="center"/>
                </w:tcPr>
                <w:p>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bidi="ar"/>
                    </w:rPr>
                    <w:t>0.</w:t>
                  </w:r>
                  <w:r>
                    <w:rPr>
                      <w:rFonts w:hint="eastAsia"/>
                      <w:color w:val="auto"/>
                      <w:kern w:val="0"/>
                      <w:sz w:val="21"/>
                      <w:szCs w:val="21"/>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58" w:type="dxa"/>
                  <w:vAlign w:val="center"/>
                </w:tcPr>
                <w:p>
                  <w:pPr>
                    <w:autoSpaceDE w:val="0"/>
                    <w:autoSpaceDN w:val="0"/>
                    <w:jc w:val="center"/>
                    <w:rPr>
                      <w:bCs/>
                      <w:color w:val="auto"/>
                      <w:kern w:val="0"/>
                      <w:sz w:val="21"/>
                      <w:szCs w:val="21"/>
                    </w:rPr>
                  </w:pPr>
                  <w:r>
                    <w:rPr>
                      <w:bCs/>
                      <w:color w:val="auto"/>
                      <w:kern w:val="0"/>
                      <w:sz w:val="21"/>
                      <w:szCs w:val="21"/>
                    </w:rPr>
                    <w:t>合计</w:t>
                  </w:r>
                </w:p>
              </w:tc>
              <w:tc>
                <w:tcPr>
                  <w:tcW w:w="1763" w:type="dxa"/>
                  <w:vAlign w:val="center"/>
                </w:tcPr>
                <w:p>
                  <w:pPr>
                    <w:widowControl/>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bidi="ar"/>
                    </w:rPr>
                    <w:t>160000</w:t>
                  </w:r>
                </w:p>
              </w:tc>
              <w:tc>
                <w:tcPr>
                  <w:tcW w:w="2162" w:type="dxa"/>
                  <w:vAlign w:val="center"/>
                </w:tcPr>
                <w:p>
                  <w:pPr>
                    <w:jc w:val="center"/>
                    <w:rPr>
                      <w:color w:val="auto"/>
                      <w:kern w:val="0"/>
                      <w:sz w:val="21"/>
                      <w:szCs w:val="21"/>
                    </w:rPr>
                  </w:pPr>
                  <w:r>
                    <w:rPr>
                      <w:color w:val="auto"/>
                      <w:kern w:val="0"/>
                      <w:sz w:val="21"/>
                      <w:szCs w:val="21"/>
                    </w:rPr>
                    <w:t>合计</w:t>
                  </w:r>
                </w:p>
              </w:tc>
              <w:tc>
                <w:tcPr>
                  <w:tcW w:w="1974" w:type="dxa"/>
                  <w:vAlign w:val="center"/>
                </w:tcPr>
                <w:p>
                  <w:pPr>
                    <w:widowControl/>
                    <w:jc w:val="center"/>
                    <w:textAlignment w:val="center"/>
                    <w:rPr>
                      <w:rFonts w:hint="eastAsia" w:eastAsia="宋体"/>
                      <w:color w:val="auto"/>
                      <w:kern w:val="0"/>
                      <w:sz w:val="21"/>
                      <w:szCs w:val="21"/>
                      <w:lang w:eastAsia="zh-CN"/>
                    </w:rPr>
                  </w:pPr>
                  <w:r>
                    <w:rPr>
                      <w:rFonts w:hint="eastAsia"/>
                      <w:color w:val="auto"/>
                      <w:kern w:val="0"/>
                      <w:sz w:val="21"/>
                      <w:szCs w:val="21"/>
                      <w:lang w:val="en-US" w:eastAsia="zh-CN" w:bidi="ar"/>
                    </w:rPr>
                    <w:t>160000</w:t>
                  </w:r>
                </w:p>
              </w:tc>
            </w:tr>
          </w:tbl>
          <w:p>
            <w:pPr>
              <w:pStyle w:val="51"/>
              <w:ind w:firstLine="480"/>
              <w:rPr>
                <w:rFonts w:hAnsi="宋体" w:cs="宋体"/>
                <w:color w:val="auto"/>
                <w:lang w:bidi="ar"/>
              </w:rPr>
            </w:pPr>
            <w:r>
              <w:rPr>
                <w:rFonts w:hint="eastAsia" w:hAnsi="宋体" w:cs="宋体"/>
                <w:color w:val="auto"/>
                <w:lang w:bidi="ar"/>
              </w:rPr>
              <w:t>本项目主要原材料的理化性质见下表：</w:t>
            </w:r>
          </w:p>
          <w:p>
            <w:pPr>
              <w:jc w:val="center"/>
              <w:rPr>
                <w:rFonts w:hAnsi="宋体" w:cs="宋体"/>
                <w:b/>
                <w:bCs/>
                <w:color w:val="auto"/>
                <w:lang w:bidi="ar"/>
              </w:rPr>
            </w:pPr>
            <w:r>
              <w:rPr>
                <w:rFonts w:hint="eastAsia" w:hAnsi="宋体" w:cs="宋体"/>
                <w:b/>
                <w:bCs/>
                <w:color w:val="auto"/>
                <w:lang w:bidi="ar"/>
              </w:rPr>
              <w:t>表2-</w:t>
            </w:r>
            <w:r>
              <w:rPr>
                <w:rFonts w:hint="eastAsia" w:hAnsi="宋体" w:cs="宋体"/>
                <w:b/>
                <w:bCs/>
                <w:color w:val="auto"/>
                <w:lang w:val="en-US" w:eastAsia="zh-CN" w:bidi="ar"/>
              </w:rPr>
              <w:t>6</w:t>
            </w:r>
            <w:r>
              <w:rPr>
                <w:rFonts w:hint="eastAsia" w:hAnsi="宋体" w:cs="宋体"/>
                <w:b/>
                <w:bCs/>
                <w:color w:val="auto"/>
                <w:lang w:bidi="ar"/>
              </w:rPr>
              <w:t xml:space="preserve">  原材料理化性质</w:t>
            </w:r>
          </w:p>
          <w:tbl>
            <w:tblPr>
              <w:tblStyle w:val="30"/>
              <w:tblW w:w="78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70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32" w:type="dxa"/>
                  <w:tcBorders>
                    <w:tl2br w:val="nil"/>
                    <w:tr2bl w:val="nil"/>
                  </w:tcBorders>
                  <w:vAlign w:val="center"/>
                </w:tcPr>
                <w:p>
                  <w:pPr>
                    <w:pStyle w:val="3"/>
                    <w:rPr>
                      <w:rFonts w:hAnsi="宋体"/>
                      <w:color w:val="auto"/>
                      <w:szCs w:val="21"/>
                    </w:rPr>
                  </w:pPr>
                  <w:r>
                    <w:rPr>
                      <w:rFonts w:hint="eastAsia" w:hAnsi="宋体"/>
                      <w:color w:val="auto"/>
                      <w:szCs w:val="21"/>
                    </w:rPr>
                    <w:t>名称</w:t>
                  </w:r>
                </w:p>
              </w:tc>
              <w:tc>
                <w:tcPr>
                  <w:tcW w:w="7028" w:type="dxa"/>
                  <w:tcBorders>
                    <w:tl2br w:val="nil"/>
                    <w:tr2bl w:val="nil"/>
                  </w:tcBorders>
                  <w:vAlign w:val="center"/>
                </w:tcPr>
                <w:p>
                  <w:pPr>
                    <w:pStyle w:val="3"/>
                    <w:rPr>
                      <w:rFonts w:hAnsi="宋体"/>
                      <w:color w:val="auto"/>
                      <w:szCs w:val="21"/>
                    </w:rPr>
                  </w:pPr>
                  <w:r>
                    <w:rPr>
                      <w:rFonts w:hint="eastAsia" w:hAnsi="宋体"/>
                      <w:color w:val="auto"/>
                      <w:szCs w:val="21"/>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32" w:type="dxa"/>
                  <w:tcBorders>
                    <w:tl2br w:val="nil"/>
                    <w:tr2bl w:val="nil"/>
                  </w:tcBorders>
                  <w:vAlign w:val="center"/>
                </w:tcPr>
                <w:p>
                  <w:pPr>
                    <w:pStyle w:val="3"/>
                    <w:rPr>
                      <w:rFonts w:hAnsi="宋体"/>
                      <w:color w:val="auto"/>
                      <w:szCs w:val="21"/>
                    </w:rPr>
                  </w:pPr>
                  <w:r>
                    <w:rPr>
                      <w:rFonts w:hint="eastAsia" w:hAnsi="宋体"/>
                      <w:color w:val="auto"/>
                      <w:szCs w:val="21"/>
                    </w:rPr>
                    <w:t>沥青</w:t>
                  </w:r>
                </w:p>
              </w:tc>
              <w:tc>
                <w:tcPr>
                  <w:tcW w:w="7028" w:type="dxa"/>
                  <w:tcBorders>
                    <w:tl2br w:val="nil"/>
                    <w:tr2bl w:val="nil"/>
                  </w:tcBorders>
                  <w:vAlign w:val="center"/>
                </w:tcPr>
                <w:p>
                  <w:pPr>
                    <w:pStyle w:val="3"/>
                    <w:ind w:firstLine="420" w:firstLineChars="200"/>
                    <w:jc w:val="both"/>
                    <w:rPr>
                      <w:rFonts w:hAnsi="宋体"/>
                      <w:color w:val="auto"/>
                      <w:szCs w:val="21"/>
                    </w:rPr>
                  </w:pPr>
                  <w:r>
                    <w:rPr>
                      <w:rFonts w:hint="eastAsia" w:hAnsi="宋体"/>
                      <w:color w:val="auto"/>
                      <w:szCs w:val="21"/>
                    </w:rPr>
                    <w:t>为黑色液体、半固体或固体，</w:t>
                  </w:r>
                  <w:r>
                    <w:rPr>
                      <w:rFonts w:hAnsi="宋体"/>
                      <w:color w:val="auto"/>
                      <w:szCs w:val="21"/>
                    </w:rPr>
                    <w:t>密度1.15-1.25g/cm</w:t>
                  </w:r>
                  <w:r>
                    <w:rPr>
                      <w:rFonts w:hAnsi="宋体"/>
                      <w:color w:val="auto"/>
                      <w:szCs w:val="21"/>
                      <w:vertAlign w:val="superscript"/>
                    </w:rPr>
                    <w:t>3</w:t>
                  </w:r>
                  <w:r>
                    <w:rPr>
                      <w:rFonts w:hAnsi="宋体"/>
                      <w:color w:val="auto"/>
                      <w:szCs w:val="21"/>
                    </w:rPr>
                    <w:t>，闪点204.4℃</w:t>
                  </w:r>
                  <w:r>
                    <w:rPr>
                      <w:rFonts w:hint="eastAsia" w:hAnsi="宋体"/>
                      <w:color w:val="auto"/>
                      <w:szCs w:val="21"/>
                      <w:lang w:eastAsia="zh-CN"/>
                    </w:rPr>
                    <w:t>，</w:t>
                  </w:r>
                  <w:r>
                    <w:rPr>
                      <w:rFonts w:hAnsi="宋体"/>
                      <w:color w:val="auto"/>
                      <w:szCs w:val="21"/>
                    </w:rPr>
                    <w:t>不溶于水，不溶于丙酮、乙醚、稀乙醇，溶于二硫化碳、四氯化碳等。遇明火、高热可燃。燃烧时放出有毒的刺激性烟雾。沥青及其烟气对皮肤粘膜具有刺激性，有光毒作用和致肿瘤作用。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32" w:type="dxa"/>
                  <w:tcBorders>
                    <w:tl2br w:val="nil"/>
                    <w:tr2bl w:val="nil"/>
                  </w:tcBorders>
                  <w:vAlign w:val="center"/>
                </w:tcPr>
                <w:p>
                  <w:pPr>
                    <w:pStyle w:val="3"/>
                    <w:rPr>
                      <w:rFonts w:hAnsi="宋体"/>
                      <w:color w:val="auto"/>
                      <w:szCs w:val="21"/>
                    </w:rPr>
                  </w:pPr>
                  <w:r>
                    <w:rPr>
                      <w:rFonts w:hint="eastAsia" w:hAnsi="宋体"/>
                      <w:color w:val="auto"/>
                      <w:szCs w:val="21"/>
                    </w:rPr>
                    <w:t>导热油</w:t>
                  </w:r>
                </w:p>
              </w:tc>
              <w:tc>
                <w:tcPr>
                  <w:tcW w:w="7028" w:type="dxa"/>
                  <w:tcBorders>
                    <w:tl2br w:val="nil"/>
                    <w:tr2bl w:val="nil"/>
                  </w:tcBorders>
                  <w:vAlign w:val="center"/>
                </w:tcPr>
                <w:p>
                  <w:pPr>
                    <w:pStyle w:val="3"/>
                    <w:ind w:firstLine="420" w:firstLineChars="200"/>
                    <w:jc w:val="both"/>
                    <w:rPr>
                      <w:rFonts w:hAnsi="宋体"/>
                      <w:color w:val="auto"/>
                      <w:szCs w:val="21"/>
                    </w:rPr>
                  </w:pPr>
                  <w:r>
                    <w:rPr>
                      <w:rFonts w:hint="eastAsia" w:hAnsi="宋体"/>
                      <w:color w:val="auto"/>
                      <w:szCs w:val="21"/>
                    </w:rPr>
                    <w:t>琥珀色液体，密度0.89g/cm</w:t>
                  </w:r>
                  <w:r>
                    <w:rPr>
                      <w:rFonts w:hint="eastAsia" w:hAnsi="宋体"/>
                      <w:color w:val="auto"/>
                      <w:szCs w:val="21"/>
                      <w:vertAlign w:val="superscript"/>
                    </w:rPr>
                    <w:t>3</w:t>
                  </w:r>
                  <w:r>
                    <w:rPr>
                      <w:rFonts w:hint="eastAsia" w:hAnsi="宋体"/>
                      <w:color w:val="auto"/>
                      <w:szCs w:val="21"/>
                    </w:rPr>
                    <w:t>，闪点216℃</w:t>
                  </w:r>
                  <w:r>
                    <w:rPr>
                      <w:rFonts w:hint="eastAsia" w:hAnsi="宋体"/>
                      <w:color w:val="auto"/>
                      <w:szCs w:val="21"/>
                      <w:lang w:eastAsia="zh-CN"/>
                    </w:rPr>
                    <w:t>，</w:t>
                  </w:r>
                  <w:r>
                    <w:rPr>
                      <w:rFonts w:hint="eastAsia" w:hAnsi="宋体"/>
                      <w:color w:val="auto"/>
                      <w:szCs w:val="21"/>
                    </w:rPr>
                    <w:t>难燃物质，在正常条件下使用</w:t>
                  </w:r>
                  <w:r>
                    <w:rPr>
                      <w:rFonts w:hint="eastAsia" w:hAnsi="宋体"/>
                      <w:color w:val="auto"/>
                      <w:szCs w:val="21"/>
                      <w:lang w:eastAsia="zh-CN"/>
                    </w:rPr>
                    <w:t>不</w:t>
                  </w:r>
                  <w:r>
                    <w:rPr>
                      <w:rFonts w:hint="eastAsia" w:hAnsi="宋体"/>
                      <w:color w:val="auto"/>
                      <w:szCs w:val="21"/>
                    </w:rPr>
                    <w:t>会成为健康危险源。长期或持续接触皮肤，而不适当清洗，可能会阻塞皮肤毛孔，导致油脂性粉刺/毛囊炎等疾病。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32" w:type="dxa"/>
                  <w:tcBorders>
                    <w:tl2br w:val="nil"/>
                    <w:tr2bl w:val="nil"/>
                  </w:tcBorders>
                  <w:vAlign w:val="center"/>
                </w:tcPr>
                <w:p>
                  <w:pPr>
                    <w:pStyle w:val="3"/>
                    <w:rPr>
                      <w:rFonts w:hint="eastAsia" w:hAnsi="宋体" w:eastAsia="宋体"/>
                      <w:color w:val="auto"/>
                      <w:szCs w:val="21"/>
                      <w:lang w:eastAsia="zh-CN"/>
                    </w:rPr>
                  </w:pPr>
                  <w:r>
                    <w:rPr>
                      <w:rFonts w:hint="eastAsia" w:hAnsi="宋体"/>
                      <w:color w:val="auto"/>
                      <w:szCs w:val="21"/>
                      <w:lang w:val="en-US" w:eastAsia="zh-CN"/>
                    </w:rPr>
                    <w:t>矿粉</w:t>
                  </w:r>
                </w:p>
              </w:tc>
              <w:tc>
                <w:tcPr>
                  <w:tcW w:w="7028" w:type="dxa"/>
                  <w:tcBorders>
                    <w:tl2br w:val="nil"/>
                    <w:tr2bl w:val="nil"/>
                  </w:tcBorders>
                  <w:vAlign w:val="center"/>
                </w:tcPr>
                <w:p>
                  <w:pPr>
                    <w:pStyle w:val="3"/>
                    <w:ind w:firstLine="420" w:firstLineChars="200"/>
                    <w:jc w:val="both"/>
                    <w:rPr>
                      <w:rFonts w:hAnsi="宋体"/>
                      <w:color w:val="auto"/>
                      <w:szCs w:val="21"/>
                    </w:rPr>
                  </w:pPr>
                  <w:r>
                    <w:rPr>
                      <w:rFonts w:hint="eastAsia" w:hAnsi="宋体"/>
                      <w:color w:val="auto"/>
                      <w:szCs w:val="21"/>
                    </w:rPr>
                    <w:t>为石灰石粉末，质白细，罐装，贮放于粉料储罐内。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32" w:type="dxa"/>
                  <w:tcBorders>
                    <w:tl2br w:val="nil"/>
                    <w:tr2bl w:val="nil"/>
                  </w:tcBorders>
                  <w:vAlign w:val="center"/>
                </w:tcPr>
                <w:p>
                  <w:pPr>
                    <w:pStyle w:val="3"/>
                    <w:rPr>
                      <w:rFonts w:hint="eastAsia" w:hAnsi="宋体" w:eastAsia="宋体"/>
                      <w:color w:val="auto"/>
                      <w:szCs w:val="21"/>
                      <w:lang w:val="en-US" w:eastAsia="zh-CN"/>
                    </w:rPr>
                  </w:pPr>
                  <w:r>
                    <w:rPr>
                      <w:rFonts w:hint="eastAsia" w:hAnsi="宋体"/>
                      <w:color w:val="auto"/>
                      <w:szCs w:val="21"/>
                      <w:lang w:val="en-US" w:eastAsia="zh-CN"/>
                    </w:rPr>
                    <w:t>碎石</w:t>
                  </w:r>
                </w:p>
              </w:tc>
              <w:tc>
                <w:tcPr>
                  <w:tcW w:w="7028" w:type="dxa"/>
                  <w:tcBorders>
                    <w:tl2br w:val="nil"/>
                    <w:tr2bl w:val="nil"/>
                  </w:tcBorders>
                  <w:vAlign w:val="center"/>
                </w:tcPr>
                <w:p>
                  <w:pPr>
                    <w:pStyle w:val="3"/>
                    <w:ind w:firstLine="420" w:firstLineChars="200"/>
                    <w:jc w:val="both"/>
                    <w:rPr>
                      <w:rFonts w:hAnsi="宋体"/>
                      <w:color w:val="auto"/>
                      <w:szCs w:val="21"/>
                    </w:rPr>
                  </w:pPr>
                  <w:r>
                    <w:rPr>
                      <w:rFonts w:hint="eastAsia" w:hAnsi="宋体"/>
                      <w:color w:val="auto"/>
                      <w:szCs w:val="21"/>
                    </w:rPr>
                    <w:t>来源于采石加工场，是不同粒度规格产品，主要成分为石灰岩石质，</w:t>
                  </w:r>
                </w:p>
                <w:p>
                  <w:pPr>
                    <w:pStyle w:val="3"/>
                    <w:ind w:firstLine="420" w:firstLineChars="200"/>
                    <w:jc w:val="both"/>
                    <w:rPr>
                      <w:rFonts w:hAnsi="宋体"/>
                      <w:color w:val="auto"/>
                      <w:szCs w:val="21"/>
                    </w:rPr>
                  </w:pPr>
                  <w:r>
                    <w:rPr>
                      <w:rFonts w:hint="eastAsia" w:hAnsi="宋体"/>
                      <w:color w:val="auto"/>
                      <w:szCs w:val="21"/>
                    </w:rPr>
                    <w:t>以上产品经采购后直接运进骨料库房，厂区不进行破碎。</w:t>
                  </w:r>
                </w:p>
              </w:tc>
            </w:tr>
            <w:tr>
              <w:tblPrEx>
                <w:tblLayout w:type="fixed"/>
                <w:tblCellMar>
                  <w:top w:w="0" w:type="dxa"/>
                  <w:left w:w="108" w:type="dxa"/>
                  <w:bottom w:w="0" w:type="dxa"/>
                  <w:right w:w="108" w:type="dxa"/>
                </w:tblCellMar>
              </w:tblPrEx>
              <w:trPr>
                <w:trHeight w:val="306" w:hRule="atLeast"/>
                <w:jc w:val="center"/>
              </w:trPr>
              <w:tc>
                <w:tcPr>
                  <w:tcW w:w="832" w:type="dxa"/>
                  <w:tcBorders>
                    <w:tl2br w:val="nil"/>
                    <w:tr2bl w:val="nil"/>
                  </w:tcBorders>
                  <w:vAlign w:val="center"/>
                </w:tcPr>
                <w:p>
                  <w:pPr>
                    <w:pStyle w:val="3"/>
                    <w:rPr>
                      <w:rFonts w:hint="default" w:ascii="Times New Roman" w:hAnsi="宋体" w:eastAsia="宋体" w:cs="Times New Roman"/>
                      <w:color w:val="auto"/>
                      <w:szCs w:val="21"/>
                      <w:lang w:val="en-US" w:eastAsia="zh-CN"/>
                    </w:rPr>
                  </w:pPr>
                  <w:r>
                    <w:rPr>
                      <w:rFonts w:hint="eastAsia" w:hAnsi="宋体" w:cs="Times New Roman"/>
                      <w:color w:val="auto"/>
                      <w:szCs w:val="21"/>
                      <w:lang w:val="en-US" w:eastAsia="zh-CN"/>
                    </w:rPr>
                    <w:t>柴油</w:t>
                  </w:r>
                </w:p>
              </w:tc>
              <w:tc>
                <w:tcPr>
                  <w:tcW w:w="7028" w:type="dxa"/>
                  <w:tcBorders>
                    <w:tl2br w:val="nil"/>
                    <w:tr2bl w:val="nil"/>
                  </w:tcBorders>
                  <w:shd w:val="clear" w:color="auto" w:fill="auto"/>
                  <w:vAlign w:val="center"/>
                </w:tcPr>
                <w:p>
                  <w:pPr>
                    <w:pStyle w:val="3"/>
                    <w:rPr>
                      <w:rFonts w:hint="default" w:ascii="Times New Roman" w:hAnsi="宋体" w:eastAsia="宋体" w:cs="Times New Roman"/>
                      <w:color w:val="auto"/>
                      <w:szCs w:val="21"/>
                      <w:lang w:val="en-US" w:eastAsia="zh-CN"/>
                    </w:rPr>
                  </w:pPr>
                  <w:r>
                    <w:rPr>
                      <w:rFonts w:hint="eastAsia"/>
                      <w:color w:val="auto"/>
                    </w:rPr>
                    <w:t>柴油为轻质石油产品，主要是由烷烃、烯烃、环烷烃、芳香烃、多环芳烃与少量硫（2～60g/kg）、氮（&lt;1g/kg）及添加剂组成的混合物。与汽油相比，柴油能量密度高，燃油消耗率低，但废气中含有害成分（NO，颗粒物等）较多。</w:t>
                  </w:r>
                </w:p>
              </w:tc>
            </w:tr>
          </w:tbl>
          <w:p>
            <w:pPr>
              <w:pStyle w:val="51"/>
              <w:numPr>
                <w:ilvl w:val="0"/>
                <w:numId w:val="6"/>
              </w:numPr>
              <w:ind w:firstLine="482"/>
              <w:rPr>
                <w:b/>
                <w:bCs/>
                <w:color w:val="auto"/>
              </w:rPr>
            </w:pPr>
            <w:r>
              <w:rPr>
                <w:b/>
                <w:bCs/>
                <w:color w:val="auto"/>
              </w:rPr>
              <w:t>公用工程</w:t>
            </w:r>
          </w:p>
          <w:p>
            <w:pPr>
              <w:snapToGrid w:val="0"/>
              <w:spacing w:line="360" w:lineRule="auto"/>
              <w:ind w:firstLine="480" w:firstLineChars="200"/>
              <w:rPr>
                <w:rFonts w:hAnsi="宋体" w:cs="宋体"/>
                <w:color w:val="auto"/>
                <w:lang w:bidi="ar"/>
              </w:rPr>
            </w:pPr>
            <w:r>
              <w:rPr>
                <w:rFonts w:hint="eastAsia" w:hAnsi="宋体" w:cs="宋体"/>
                <w:color w:val="auto"/>
                <w:lang w:bidi="ar"/>
              </w:rPr>
              <w:t>（1）给水</w:t>
            </w:r>
          </w:p>
          <w:p>
            <w:pPr>
              <w:spacing w:line="360" w:lineRule="auto"/>
              <w:ind w:firstLine="480" w:firstLineChars="200"/>
              <w:rPr>
                <w:rFonts w:hint="eastAsia" w:hAnsi="宋体" w:eastAsia="宋体" w:cs="宋体"/>
                <w:color w:val="auto"/>
                <w:lang w:bidi="ar"/>
              </w:rPr>
            </w:pPr>
            <w:r>
              <w:rPr>
                <w:rFonts w:hint="eastAsia" w:hAnsi="宋体" w:cs="宋体"/>
                <w:color w:val="auto"/>
                <w:lang w:bidi="ar"/>
              </w:rPr>
              <w:t>生活用水：根据黑龙江省地方标准《用水定额》（DB23/T727-202</w:t>
            </w:r>
            <w:r>
              <w:rPr>
                <w:rFonts w:hint="eastAsia" w:hAnsi="宋体" w:cs="宋体"/>
                <w:color w:val="auto"/>
                <w:lang w:val="en-US" w:eastAsia="zh-CN" w:bidi="ar"/>
              </w:rPr>
              <w:t>5</w:t>
            </w:r>
            <w:r>
              <w:rPr>
                <w:rFonts w:hint="eastAsia" w:hAnsi="宋体" w:cs="宋体"/>
                <w:color w:val="auto"/>
                <w:lang w:bidi="ar"/>
              </w:rPr>
              <w:t>），本项目不设置食堂宿舍。本项目生活用水按每人80L/人·d计，项目劳动定员</w:t>
            </w:r>
            <w:r>
              <w:rPr>
                <w:rFonts w:hint="eastAsia" w:hAnsi="宋体" w:cs="宋体"/>
                <w:color w:val="auto"/>
                <w:lang w:val="en-US" w:eastAsia="zh-CN" w:bidi="ar"/>
              </w:rPr>
              <w:t>6</w:t>
            </w:r>
            <w:r>
              <w:rPr>
                <w:rFonts w:hint="eastAsia" w:hAnsi="宋体" w:cs="宋体"/>
                <w:color w:val="auto"/>
                <w:lang w:bidi="ar"/>
              </w:rPr>
              <w:t>人，年工作</w:t>
            </w:r>
            <w:r>
              <w:rPr>
                <w:rFonts w:hint="eastAsia" w:hAnsi="宋体" w:cs="宋体"/>
                <w:color w:val="auto"/>
                <w:lang w:val="en-US" w:eastAsia="zh-CN" w:bidi="ar"/>
              </w:rPr>
              <w:t>90</w:t>
            </w:r>
            <w:r>
              <w:rPr>
                <w:rFonts w:hint="eastAsia" w:hAnsi="宋体" w:cs="宋体"/>
                <w:color w:val="auto"/>
                <w:lang w:bidi="ar"/>
              </w:rPr>
              <w:t>天，则用水量为</w:t>
            </w:r>
            <w:r>
              <w:rPr>
                <w:rFonts w:hint="eastAsia" w:hAnsi="宋体" w:cs="宋体"/>
                <w:color w:val="auto"/>
                <w:lang w:val="en-US" w:eastAsia="zh-CN" w:bidi="ar"/>
              </w:rPr>
              <w:t>0.48</w:t>
            </w:r>
            <w:r>
              <w:rPr>
                <w:rFonts w:hint="eastAsia" w:hAnsi="宋体" w:cs="宋体"/>
                <w:color w:val="auto"/>
                <w:lang w:bidi="ar"/>
              </w:rPr>
              <w:t>m</w:t>
            </w:r>
            <w:r>
              <w:rPr>
                <w:rFonts w:hint="eastAsia" w:hAnsi="宋体" w:cs="宋体"/>
                <w:color w:val="auto"/>
                <w:vertAlign w:val="superscript"/>
                <w:lang w:bidi="ar"/>
              </w:rPr>
              <w:t>3</w:t>
            </w:r>
            <w:r>
              <w:rPr>
                <w:rFonts w:hint="eastAsia" w:hAnsi="宋体" w:cs="宋体"/>
                <w:color w:val="auto"/>
                <w:lang w:bidi="ar"/>
              </w:rPr>
              <w:t>/d，</w:t>
            </w:r>
            <w:r>
              <w:rPr>
                <w:rFonts w:hint="eastAsia" w:hAnsi="宋体" w:cs="宋体"/>
                <w:color w:val="auto"/>
                <w:lang w:val="en-US" w:eastAsia="zh-CN" w:bidi="ar"/>
              </w:rPr>
              <w:t>43.2</w:t>
            </w:r>
            <w:r>
              <w:rPr>
                <w:rFonts w:hint="eastAsia" w:hAnsi="宋体" w:cs="宋体"/>
                <w:color w:val="auto"/>
                <w:lang w:bidi="ar"/>
              </w:rPr>
              <w:t>m</w:t>
            </w:r>
            <w:r>
              <w:rPr>
                <w:rFonts w:hint="eastAsia" w:hAnsi="宋体" w:cs="宋体"/>
                <w:color w:val="auto"/>
                <w:vertAlign w:val="superscript"/>
                <w:lang w:bidi="ar"/>
              </w:rPr>
              <w:t>3</w:t>
            </w:r>
            <w:r>
              <w:rPr>
                <w:rFonts w:hint="eastAsia" w:hAnsi="宋体" w:cs="宋体"/>
                <w:color w:val="auto"/>
                <w:lang w:bidi="ar"/>
              </w:rPr>
              <w:t>/a</w:t>
            </w:r>
            <w:r>
              <w:rPr>
                <w:rFonts w:hint="eastAsia" w:hAnsi="宋体" w:eastAsia="宋体" w:cs="宋体"/>
                <w:color w:val="auto"/>
                <w:lang w:bidi="ar"/>
              </w:rPr>
              <w:t>。</w:t>
            </w:r>
          </w:p>
          <w:p>
            <w:pPr>
              <w:spacing w:line="360" w:lineRule="auto"/>
              <w:ind w:firstLine="480" w:firstLineChars="200"/>
              <w:rPr>
                <w:rFonts w:hint="default" w:hAnsi="宋体" w:eastAsia="宋体" w:cs="宋体"/>
                <w:color w:val="auto"/>
                <w:lang w:val="en-US" w:eastAsia="zh-CN" w:bidi="ar"/>
              </w:rPr>
            </w:pPr>
            <w:r>
              <w:rPr>
                <w:rFonts w:hint="eastAsia" w:hAnsi="宋体" w:eastAsia="宋体" w:cs="宋体"/>
                <w:color w:val="auto"/>
                <w:lang w:val="en-US" w:eastAsia="zh-CN" w:bidi="ar"/>
              </w:rPr>
              <w:t>生产用水：生产用水为厂区降尘用水，</w:t>
            </w:r>
            <w:r>
              <w:rPr>
                <w:rFonts w:hint="eastAsia" w:ascii="Times New Roman" w:hAnsi="Times New Roman" w:cs="Times New Roman"/>
                <w:color w:val="auto"/>
                <w:sz w:val="24"/>
                <w:lang w:val="en-US" w:eastAsia="zh-CN"/>
              </w:rPr>
              <w:t>本项目以厂区总面积计，</w:t>
            </w:r>
            <w:r>
              <w:rPr>
                <w:rFonts w:hint="default" w:ascii="Times New Roman" w:hAnsi="Times New Roman" w:cs="Times New Roman"/>
                <w:color w:val="auto"/>
                <w:sz w:val="24"/>
              </w:rPr>
              <w:t>喷</w:t>
            </w:r>
            <w:r>
              <w:rPr>
                <w:rFonts w:hint="default" w:ascii="Times New Roman" w:hAnsi="Times New Roman" w:cs="Times New Roman"/>
                <w:color w:val="auto"/>
                <w:sz w:val="24"/>
                <w:szCs w:val="24"/>
              </w:rPr>
              <w:t>洒量约</w:t>
            </w:r>
            <w:r>
              <w:rPr>
                <w:rFonts w:hint="eastAsia"/>
                <w:color w:val="auto"/>
                <w:sz w:val="24"/>
                <w:szCs w:val="24"/>
              </w:rPr>
              <w:t xml:space="preserve"> </w:t>
            </w:r>
            <w:r>
              <w:rPr>
                <w:rFonts w:hint="eastAsia"/>
                <w:color w:val="auto"/>
                <w:sz w:val="24"/>
                <w:szCs w:val="24"/>
                <w:lang w:val="en-US" w:eastAsia="zh-CN"/>
              </w:rPr>
              <w:t>1</w:t>
            </w:r>
            <w:r>
              <w:rPr>
                <w:rFonts w:hint="eastAsia"/>
                <w:color w:val="auto"/>
                <w:sz w:val="24"/>
                <w:szCs w:val="24"/>
              </w:rPr>
              <w:t>L/（m</w:t>
            </w:r>
            <w:r>
              <w:rPr>
                <w:rFonts w:hint="eastAsia"/>
                <w:color w:val="auto"/>
                <w:sz w:val="24"/>
                <w:szCs w:val="24"/>
                <w:vertAlign w:val="superscript"/>
              </w:rPr>
              <w:t>2</w:t>
            </w:r>
            <w:r>
              <w:rPr>
                <w:rFonts w:hint="eastAsia"/>
                <w:color w:val="auto"/>
                <w:sz w:val="24"/>
                <w:szCs w:val="24"/>
              </w:rPr>
              <w:t>•d）</w:t>
            </w:r>
            <w:r>
              <w:rPr>
                <w:rFonts w:hint="eastAsia"/>
                <w:color w:val="auto"/>
                <w:sz w:val="24"/>
                <w:szCs w:val="24"/>
                <w:lang w:eastAsia="zh-CN"/>
              </w:rPr>
              <w:t>，</w:t>
            </w:r>
            <w:r>
              <w:rPr>
                <w:rFonts w:hint="eastAsia" w:ascii="Times New Roman" w:hAnsi="Times New Roman" w:cs="Times New Roman"/>
                <w:color w:val="auto"/>
                <w:sz w:val="24"/>
                <w:szCs w:val="24"/>
                <w:lang w:val="en-US" w:eastAsia="zh-CN"/>
              </w:rPr>
              <w:t>31</w:t>
            </w:r>
            <w:r>
              <w:rPr>
                <w:rFonts w:hint="default" w:ascii="Times New Roman" w:hAnsi="Times New Roman" w:cs="Times New Roman"/>
                <w:color w:val="auto"/>
                <w:sz w:val="24"/>
                <w:szCs w:val="24"/>
              </w:rPr>
              <w:t>t/d（</w:t>
            </w:r>
            <w:r>
              <w:rPr>
                <w:rFonts w:hint="eastAsia" w:ascii="Times New Roman" w:hAnsi="Times New Roman" w:cs="Times New Roman"/>
                <w:color w:val="auto"/>
                <w:sz w:val="24"/>
                <w:szCs w:val="24"/>
                <w:lang w:val="en-US" w:eastAsia="zh-CN"/>
              </w:rPr>
              <w:t>2790</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由新鲜水（16.287t/d，1465.85t/a）和初期雨水（14.713t/d，</w:t>
            </w:r>
            <w:r>
              <w:rPr>
                <w:rFonts w:hint="eastAsia" w:ascii="Times New Roman" w:hAnsi="Times New Roman" w:eastAsia="宋体" w:cs="Times New Roman"/>
                <w:color w:val="auto"/>
                <w:kern w:val="0"/>
                <w:sz w:val="24"/>
                <w:szCs w:val="24"/>
                <w:lang w:val="en-US" w:eastAsia="zh-CN" w:bidi="ar-SA"/>
              </w:rPr>
              <w:t>1324.15</w:t>
            </w:r>
            <w:r>
              <w:rPr>
                <w:rFonts w:hint="eastAsia" w:eastAsia="宋体"/>
                <w:color w:val="auto"/>
                <w:sz w:val="24"/>
                <w:lang w:val="en-US" w:eastAsia="zh-CN"/>
              </w:rPr>
              <w:t>t</w:t>
            </w:r>
            <w:r>
              <w:rPr>
                <w:rFonts w:hint="eastAsia"/>
                <w:color w:val="auto"/>
                <w:sz w:val="24"/>
                <w:lang w:val="en-US" w:eastAsia="zh-CN"/>
              </w:rPr>
              <w:t>/a</w:t>
            </w:r>
            <w:r>
              <w:rPr>
                <w:rFonts w:hint="eastAsia" w:ascii="Times New Roman" w:hAnsi="Times New Roman" w:cs="Times New Roman"/>
                <w:color w:val="auto"/>
                <w:sz w:val="24"/>
                <w:szCs w:val="24"/>
                <w:lang w:val="en-US" w:eastAsia="zh-CN"/>
              </w:rPr>
              <w:t>）。</w:t>
            </w:r>
          </w:p>
          <w:p>
            <w:pPr>
              <w:snapToGrid w:val="0"/>
              <w:spacing w:line="360" w:lineRule="auto"/>
              <w:ind w:firstLine="480" w:firstLineChars="200"/>
              <w:rPr>
                <w:rFonts w:hAnsi="宋体" w:cs="宋体"/>
                <w:color w:val="auto"/>
              </w:rPr>
            </w:pPr>
            <w:r>
              <w:rPr>
                <w:rFonts w:hint="eastAsia" w:hAnsi="宋体" w:cs="宋体"/>
                <w:bCs/>
                <w:color w:val="auto"/>
              </w:rPr>
              <w:t>（2）排水</w:t>
            </w:r>
          </w:p>
          <w:p>
            <w:pPr>
              <w:snapToGrid w:val="0"/>
              <w:spacing w:line="360" w:lineRule="auto"/>
              <w:ind w:firstLine="480" w:firstLineChars="200"/>
              <w:rPr>
                <w:rFonts w:hint="eastAsia" w:hAnsi="宋体" w:eastAsia="宋体" w:cs="宋体"/>
                <w:color w:val="auto"/>
              </w:rPr>
            </w:pPr>
            <w:r>
              <w:rPr>
                <w:rFonts w:hint="eastAsia" w:hAnsi="宋体" w:cs="宋体"/>
                <w:color w:val="auto"/>
              </w:rPr>
              <w:t>生活污水</w:t>
            </w:r>
            <w:r>
              <w:rPr>
                <w:rFonts w:hint="eastAsia" w:hAnsi="宋体" w:cs="宋体"/>
                <w:color w:val="auto"/>
                <w:lang w:eastAsia="zh-CN"/>
              </w:rPr>
              <w:t>：</w:t>
            </w:r>
            <w:r>
              <w:rPr>
                <w:rFonts w:hint="eastAsia" w:hAnsi="宋体" w:cs="宋体"/>
                <w:color w:val="auto"/>
              </w:rPr>
              <w:t>员工生活污水的</w:t>
            </w:r>
            <w:r>
              <w:rPr>
                <w:rFonts w:hint="eastAsia" w:hAnsi="宋体" w:cs="宋体"/>
                <w:color w:val="auto"/>
                <w:lang w:val="en-US" w:eastAsia="zh-CN"/>
              </w:rPr>
              <w:t>产生</w:t>
            </w:r>
            <w:r>
              <w:rPr>
                <w:rFonts w:hint="eastAsia" w:hAnsi="宋体" w:cs="宋体"/>
                <w:color w:val="auto"/>
              </w:rPr>
              <w:t>量按</w:t>
            </w:r>
            <w:r>
              <w:rPr>
                <w:rFonts w:hint="eastAsia" w:hAnsi="宋体" w:cs="宋体"/>
                <w:color w:val="auto"/>
                <w:lang w:val="en-US" w:eastAsia="zh-CN"/>
              </w:rPr>
              <w:t>用水</w:t>
            </w:r>
            <w:r>
              <w:rPr>
                <w:rFonts w:hint="eastAsia" w:hAnsi="宋体" w:cs="宋体"/>
                <w:color w:val="auto"/>
              </w:rPr>
              <w:t>量的80%计，则生活污水</w:t>
            </w:r>
            <w:r>
              <w:rPr>
                <w:rFonts w:hint="eastAsia" w:hAnsi="宋体" w:cs="宋体"/>
                <w:color w:val="auto"/>
                <w:lang w:val="en-US" w:eastAsia="zh-CN"/>
              </w:rPr>
              <w:t>产生</w:t>
            </w:r>
            <w:r>
              <w:rPr>
                <w:rFonts w:hint="eastAsia" w:hAnsi="宋体" w:cs="宋体"/>
                <w:color w:val="auto"/>
              </w:rPr>
              <w:t>量为</w:t>
            </w:r>
            <w:r>
              <w:rPr>
                <w:rFonts w:hint="eastAsia" w:hAnsi="宋体" w:cs="宋体"/>
                <w:color w:val="auto"/>
                <w:lang w:val="en-US" w:eastAsia="zh-CN"/>
              </w:rPr>
              <w:t>0.384</w:t>
            </w:r>
            <w:r>
              <w:rPr>
                <w:rFonts w:hint="eastAsia" w:hAnsi="宋体" w:cs="宋体"/>
                <w:color w:val="auto"/>
              </w:rPr>
              <w:t>m</w:t>
            </w:r>
            <w:r>
              <w:rPr>
                <w:rFonts w:hint="eastAsia" w:hAnsi="宋体" w:cs="宋体"/>
                <w:color w:val="auto"/>
                <w:vertAlign w:val="superscript"/>
              </w:rPr>
              <w:t>3</w:t>
            </w:r>
            <w:r>
              <w:rPr>
                <w:rFonts w:hint="eastAsia" w:hAnsi="宋体" w:cs="宋体"/>
                <w:color w:val="auto"/>
              </w:rPr>
              <w:t>/d，</w:t>
            </w:r>
            <w:r>
              <w:rPr>
                <w:rFonts w:hint="eastAsia" w:hAnsi="宋体" w:cs="宋体"/>
                <w:color w:val="auto"/>
                <w:lang w:val="en-US" w:eastAsia="zh-CN"/>
              </w:rPr>
              <w:t>34.56</w:t>
            </w:r>
            <w:r>
              <w:rPr>
                <w:rFonts w:hint="eastAsia" w:hAnsi="宋体" w:cs="宋体"/>
                <w:color w:val="auto"/>
              </w:rPr>
              <w:t>m</w:t>
            </w:r>
            <w:r>
              <w:rPr>
                <w:rFonts w:hint="eastAsia" w:hAnsi="宋体" w:cs="宋体"/>
                <w:color w:val="auto"/>
                <w:vertAlign w:val="superscript"/>
              </w:rPr>
              <w:t>3</w:t>
            </w:r>
            <w:r>
              <w:rPr>
                <w:rFonts w:hint="eastAsia" w:hAnsi="宋体" w:cs="宋体"/>
                <w:color w:val="auto"/>
              </w:rPr>
              <w:t>/a，</w:t>
            </w:r>
            <w:r>
              <w:rPr>
                <w:rFonts w:hint="eastAsia" w:hAnsi="宋体" w:cs="宋体"/>
                <w:color w:val="auto"/>
                <w:lang w:val="en-US" w:eastAsia="zh-CN"/>
              </w:rPr>
              <w:t>排入防渗旱</w:t>
            </w:r>
            <w:r>
              <w:rPr>
                <w:rFonts w:hint="eastAsia" w:hAnsi="宋体" w:eastAsia="宋体" w:cs="宋体"/>
                <w:color w:val="auto"/>
                <w:lang w:val="en-US" w:eastAsia="zh-CN"/>
              </w:rPr>
              <w:t>厕定期清掏，外运堆肥</w:t>
            </w:r>
            <w:r>
              <w:rPr>
                <w:rFonts w:hint="eastAsia" w:hAnsi="宋体" w:eastAsia="宋体" w:cs="宋体"/>
                <w:color w:val="auto"/>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生产废水：降尘用水全部自然蒸发，不外排</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初期雨水：  </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厂区雨水设计参照</w:t>
            </w:r>
            <w:r>
              <w:rPr>
                <w:rFonts w:hint="default" w:ascii="Times New Roman" w:hAnsi="Times New Roman" w:eastAsia="宋体" w:cs="Times New Roman"/>
                <w:color w:val="auto"/>
                <w:kern w:val="0"/>
                <w:sz w:val="24"/>
                <w:szCs w:val="24"/>
                <w:lang w:val="en-US" w:eastAsia="zh-CN"/>
              </w:rPr>
              <w:t>伊春</w:t>
            </w:r>
            <w:r>
              <w:rPr>
                <w:rFonts w:hint="default" w:ascii="Times New Roman" w:hAnsi="Times New Roman" w:eastAsia="宋体" w:cs="Times New Roman"/>
                <w:color w:val="auto"/>
                <w:kern w:val="0"/>
                <w:sz w:val="24"/>
                <w:szCs w:val="24"/>
                <w:lang w:eastAsia="zh-CN"/>
              </w:rPr>
              <w:t>市</w:t>
            </w:r>
            <w:r>
              <w:rPr>
                <w:rFonts w:hint="default" w:ascii="Times New Roman" w:hAnsi="Times New Roman" w:eastAsia="宋体" w:cs="Times New Roman"/>
                <w:color w:val="auto"/>
                <w:kern w:val="0"/>
                <w:sz w:val="24"/>
                <w:szCs w:val="24"/>
              </w:rPr>
              <w:t>地区暴雨强度进行，本项目初期雨水考虑收集前15min雨水。</w:t>
            </w:r>
          </w:p>
          <w:p>
            <w:pPr>
              <w:pStyle w:val="1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当地暴雨强度公式如下：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q=1820×（1+0.91×lgP）/（t+8.3）</w:t>
            </w:r>
            <w:r>
              <w:rPr>
                <w:rFonts w:hint="default" w:ascii="Times New Roman" w:hAnsi="Times New Roman" w:eastAsia="宋体" w:cs="Times New Roman"/>
                <w:color w:val="auto"/>
                <w:sz w:val="24"/>
                <w:szCs w:val="24"/>
                <w:vertAlign w:val="superscript"/>
              </w:rPr>
              <w:t>0.77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式中：q—设计暴雨强度，L/（s·ha）；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P—设计重现期，取5a；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t—设计降雨历时，取15min。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初期雨水量计算公式：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y</w:t>
            </w:r>
            <w:r>
              <w:rPr>
                <w:rFonts w:hint="default" w:ascii="Times New Roman" w:hAnsi="Times New Roman" w:eastAsia="宋体" w:cs="Times New Roman"/>
                <w:color w:val="auto"/>
                <w:sz w:val="24"/>
                <w:szCs w:val="24"/>
              </w:rPr>
              <w:t>=Ψ·q·F计算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式中：Qy—雨水流量，L/s；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Ψ—径流系数，取0.9；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q—暴雨强度，L/（s·ha）；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F—汇水面积，</w:t>
            </w:r>
            <w:r>
              <w:rPr>
                <w:rFonts w:hint="default" w:ascii="Times New Roman" w:hAnsi="Times New Roman" w:eastAsia="宋体" w:cs="Times New Roman"/>
                <w:color w:val="auto"/>
                <w:sz w:val="24"/>
                <w:szCs w:val="24"/>
                <w:lang w:val="en-US" w:eastAsia="zh-CN"/>
              </w:rPr>
              <w:t>取</w:t>
            </w: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lang w:val="en-US" w:eastAsia="zh-CN"/>
              </w:rPr>
              <w:t>ha</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经计算暴雨强度q为263.67L/（s·ha），雨水流量Qy为</w:t>
            </w:r>
            <w:r>
              <w:rPr>
                <w:rFonts w:hint="eastAsia" w:ascii="Times New Roman" w:hAnsi="Times New Roman" w:eastAsia="宋体" w:cs="Times New Roman"/>
                <w:color w:val="auto"/>
                <w:sz w:val="24"/>
                <w:szCs w:val="24"/>
                <w:lang w:val="en-US" w:eastAsia="zh-CN"/>
              </w:rPr>
              <w:t>735.639</w:t>
            </w:r>
            <w:r>
              <w:rPr>
                <w:rFonts w:hint="default" w:ascii="Times New Roman" w:hAnsi="Times New Roman" w:eastAsia="宋体" w:cs="Times New Roman"/>
                <w:color w:val="auto"/>
                <w:sz w:val="24"/>
                <w:szCs w:val="24"/>
              </w:rPr>
              <w:t>L/s</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单次暴雨情况下，</w:t>
            </w:r>
            <w:r>
              <w:rPr>
                <w:color w:val="auto"/>
                <w:sz w:val="24"/>
              </w:rPr>
              <w:t>初期雨水量为</w:t>
            </w:r>
            <w:r>
              <w:rPr>
                <w:rFonts w:hint="eastAsia"/>
                <w:color w:val="auto"/>
                <w:sz w:val="24"/>
                <w:lang w:val="en-US" w:eastAsia="zh-CN"/>
              </w:rPr>
              <w:t>735.639</w:t>
            </w:r>
            <w:r>
              <w:rPr>
                <w:color w:val="auto"/>
                <w:sz w:val="24"/>
              </w:rPr>
              <w:t>×15×60÷1000=</w:t>
            </w:r>
            <w:r>
              <w:rPr>
                <w:rFonts w:hint="eastAsia"/>
                <w:color w:val="auto"/>
                <w:sz w:val="24"/>
                <w:lang w:val="en-US" w:eastAsia="zh-CN"/>
              </w:rPr>
              <w:t>662.075</w:t>
            </w:r>
            <w:r>
              <w:rPr>
                <w:color w:val="auto"/>
                <w:sz w:val="24"/>
              </w:rPr>
              <w:t>m</w:t>
            </w:r>
            <w:r>
              <w:rPr>
                <w:color w:val="auto"/>
                <w:sz w:val="24"/>
                <w:vertAlign w:val="superscript"/>
              </w:rPr>
              <w:t>3</w:t>
            </w:r>
            <w:r>
              <w:rPr>
                <w:color w:val="auto"/>
                <w:sz w:val="24"/>
              </w:rPr>
              <w:t>，</w:t>
            </w:r>
            <w:r>
              <w:rPr>
                <w:rFonts w:hint="eastAsia"/>
                <w:color w:val="auto"/>
                <w:sz w:val="24"/>
                <w:lang w:val="en-US" w:eastAsia="zh-CN"/>
              </w:rPr>
              <w:t>暴雨次数取2次，初期雨水收集量为1324.15t，本项目</w:t>
            </w:r>
            <w:r>
              <w:rPr>
                <w:rFonts w:hint="eastAsia" w:ascii="Times New Roman" w:hAnsi="Times New Roman" w:eastAsia="宋体" w:cs="Times New Roman"/>
                <w:color w:val="auto"/>
                <w:kern w:val="0"/>
                <w:sz w:val="24"/>
                <w:szCs w:val="24"/>
                <w:lang w:val="en-US" w:eastAsia="zh-CN" w:bidi="ar-SA"/>
              </w:rPr>
              <w:t>在厂区南侧地势较低处建1座容积</w:t>
            </w:r>
            <w:r>
              <w:rPr>
                <w:rFonts w:hint="eastAsia" w:cs="Times New Roman"/>
                <w:color w:val="auto"/>
                <w:kern w:val="0"/>
                <w:sz w:val="24"/>
                <w:szCs w:val="24"/>
                <w:lang w:val="en-US" w:eastAsia="zh-CN" w:bidi="ar-SA"/>
              </w:rPr>
              <w:t>700</w:t>
            </w:r>
            <w:r>
              <w:rPr>
                <w:rFonts w:hint="eastAsia" w:ascii="Times New Roman" w:hAnsi="Times New Roman" w:eastAsia="宋体" w:cs="Times New Roman"/>
                <w:color w:val="auto"/>
                <w:kern w:val="0"/>
                <w:sz w:val="24"/>
                <w:szCs w:val="24"/>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初期雨水收集池，初期雨水沉淀后用于厂区降尘。</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本项目水量平衡见图2-1。</w:t>
            </w:r>
          </w:p>
          <w:p>
            <w:pPr>
              <w:pStyle w:val="25"/>
              <w:ind w:left="0"/>
              <w:rPr>
                <w:rFonts w:hint="eastAsia" w:eastAsia="宋体"/>
                <w:color w:val="auto"/>
                <w:lang w:eastAsia="zh-CN"/>
              </w:rPr>
            </w:pPr>
            <w:r>
              <w:rPr>
                <w:rFonts w:hint="eastAsia" w:eastAsia="宋体"/>
                <w:color w:val="auto"/>
                <w:lang w:eastAsia="zh-CN"/>
              </w:rPr>
              <w:drawing>
                <wp:inline distT="0" distB="0" distL="114300" distR="114300">
                  <wp:extent cx="4796155" cy="2010410"/>
                  <wp:effectExtent l="0" t="0" r="0" b="0"/>
                  <wp:docPr id="13" name="ECB019B1-382A-4266-B25C-5B523AA43C14-1" descr="C:/Users/WY001/AppData/Local/Temp/wps.IDMlx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1" descr="C:/Users/WY001/AppData/Local/Temp/wps.IDMlxWwps"/>
                          <pic:cNvPicPr>
                            <a:picLocks noChangeAspect="1"/>
                          </pic:cNvPicPr>
                        </pic:nvPicPr>
                        <pic:blipFill>
                          <a:blip r:embed="rId15"/>
                          <a:stretch>
                            <a:fillRect/>
                          </a:stretch>
                        </pic:blipFill>
                        <pic:spPr>
                          <a:xfrm>
                            <a:off x="0" y="0"/>
                            <a:ext cx="4796155" cy="2010410"/>
                          </a:xfrm>
                          <a:prstGeom prst="rect">
                            <a:avLst/>
                          </a:prstGeom>
                        </pic:spPr>
                      </pic:pic>
                    </a:graphicData>
                  </a:graphic>
                </wp:inline>
              </w:drawing>
            </w:r>
          </w:p>
          <w:p>
            <w:pPr>
              <w:pStyle w:val="3"/>
              <w:rPr>
                <w:color w:val="auto"/>
              </w:rPr>
            </w:pPr>
          </w:p>
          <w:p>
            <w:pPr>
              <w:pStyle w:val="3"/>
              <w:rPr>
                <w:color w:val="auto"/>
                <w:sz w:val="24"/>
              </w:rPr>
            </w:pPr>
            <w:r>
              <w:rPr>
                <w:b/>
                <w:color w:val="auto"/>
                <w:sz w:val="24"/>
                <w:u w:color="000000"/>
              </w:rPr>
              <w:t xml:space="preserve">图2-1 </w:t>
            </w:r>
            <w:r>
              <w:rPr>
                <w:color w:val="auto"/>
                <w:sz w:val="24"/>
              </w:rPr>
              <w:t xml:space="preserve"> </w:t>
            </w:r>
            <w:r>
              <w:rPr>
                <w:b/>
                <w:color w:val="auto"/>
                <w:sz w:val="24"/>
                <w:u w:color="000000"/>
              </w:rPr>
              <w:t xml:space="preserve">本工程水量平衡图 </w:t>
            </w:r>
            <w:r>
              <w:rPr>
                <w:b/>
                <w:color w:val="auto"/>
                <w:sz w:val="24"/>
              </w:rPr>
              <w:t>（单位：</w:t>
            </w:r>
            <w:r>
              <w:rPr>
                <w:rFonts w:hint="eastAsia"/>
                <w:b/>
                <w:color w:val="auto"/>
                <w:sz w:val="24"/>
              </w:rPr>
              <w:t>t</w:t>
            </w:r>
            <w:r>
              <w:rPr>
                <w:b/>
                <w:color w:val="auto"/>
                <w:sz w:val="24"/>
              </w:rPr>
              <w:t>/d）</w:t>
            </w:r>
          </w:p>
          <w:p>
            <w:pPr>
              <w:snapToGrid w:val="0"/>
              <w:spacing w:line="360" w:lineRule="auto"/>
              <w:ind w:firstLine="480" w:firstLineChars="200"/>
              <w:rPr>
                <w:color w:val="auto"/>
              </w:rPr>
            </w:pPr>
            <w:r>
              <w:rPr>
                <w:bCs/>
                <w:color w:val="auto"/>
              </w:rPr>
              <w:t>（3）供电</w:t>
            </w:r>
          </w:p>
          <w:p>
            <w:pPr>
              <w:snapToGrid w:val="0"/>
              <w:spacing w:line="360" w:lineRule="auto"/>
              <w:ind w:firstLine="480" w:firstLineChars="200"/>
              <w:rPr>
                <w:color w:val="auto"/>
              </w:rPr>
            </w:pPr>
            <w:r>
              <w:rPr>
                <w:color w:val="auto"/>
              </w:rPr>
              <w:t>本项目由</w:t>
            </w:r>
            <w:r>
              <w:rPr>
                <w:rFonts w:hint="eastAsia"/>
                <w:color w:val="auto"/>
              </w:rPr>
              <w:t>市政</w:t>
            </w:r>
            <w:r>
              <w:rPr>
                <w:color w:val="auto"/>
              </w:rPr>
              <w:t>供电，满足用电需求。</w:t>
            </w:r>
          </w:p>
          <w:p>
            <w:pPr>
              <w:snapToGrid w:val="0"/>
              <w:spacing w:line="360" w:lineRule="auto"/>
              <w:ind w:firstLine="480" w:firstLineChars="200"/>
              <w:rPr>
                <w:color w:val="auto"/>
              </w:rPr>
            </w:pPr>
            <w:r>
              <w:rPr>
                <w:bCs/>
                <w:color w:val="auto"/>
              </w:rPr>
              <w:t>（4）供热</w:t>
            </w:r>
          </w:p>
          <w:p>
            <w:pPr>
              <w:pStyle w:val="51"/>
              <w:ind w:firstLine="480"/>
              <w:rPr>
                <w:color w:val="auto"/>
              </w:rPr>
            </w:pPr>
            <w:r>
              <w:rPr>
                <w:color w:val="auto"/>
              </w:rPr>
              <w:t>本项目冬季不生产，</w:t>
            </w:r>
            <w:r>
              <w:rPr>
                <w:rFonts w:hint="eastAsia"/>
                <w:color w:val="auto"/>
              </w:rPr>
              <w:t>无需供暖</w:t>
            </w:r>
            <w:r>
              <w:rPr>
                <w:color w:val="auto"/>
              </w:rPr>
              <w:t>。</w:t>
            </w:r>
            <w:r>
              <w:rPr>
                <w:rFonts w:hint="eastAsia"/>
                <w:color w:val="auto"/>
              </w:rPr>
              <w:t>本项目生产供热包括沥青加热和骨料（碎石）加热，沥青加热使用1台</w:t>
            </w:r>
            <w:r>
              <w:rPr>
                <w:rFonts w:hint="eastAsia"/>
                <w:color w:val="auto"/>
                <w:lang w:val="en-US" w:eastAsia="zh-CN"/>
              </w:rPr>
              <w:t>1.5MW</w:t>
            </w:r>
            <w:r>
              <w:rPr>
                <w:rFonts w:hint="eastAsia"/>
                <w:color w:val="auto"/>
              </w:rPr>
              <w:t>导热油炉，将石油沥青加热至150~170℃，导热油炉燃料为</w:t>
            </w:r>
            <w:r>
              <w:rPr>
                <w:rFonts w:hint="eastAsia"/>
                <w:color w:val="auto"/>
                <w:lang w:val="en-US" w:eastAsia="zh-CN"/>
              </w:rPr>
              <w:t>柴油</w:t>
            </w:r>
            <w:r>
              <w:rPr>
                <w:rFonts w:hint="eastAsia"/>
                <w:color w:val="auto"/>
              </w:rPr>
              <w:t>；骨料干燥筒采用</w:t>
            </w:r>
            <w:r>
              <w:rPr>
                <w:rFonts w:hint="eastAsia"/>
                <w:color w:val="auto"/>
                <w:lang w:val="en-US" w:eastAsia="zh-CN"/>
              </w:rPr>
              <w:t>柴油</w:t>
            </w:r>
            <w:r>
              <w:rPr>
                <w:rFonts w:hint="eastAsia"/>
                <w:color w:val="auto"/>
              </w:rPr>
              <w:t>燃烧器加热。</w:t>
            </w:r>
          </w:p>
          <w:p>
            <w:pPr>
              <w:pStyle w:val="51"/>
              <w:numPr>
                <w:ilvl w:val="0"/>
                <w:numId w:val="6"/>
              </w:numPr>
              <w:ind w:firstLine="482"/>
              <w:rPr>
                <w:b/>
                <w:bCs/>
                <w:color w:val="auto"/>
              </w:rPr>
            </w:pPr>
            <w:r>
              <w:rPr>
                <w:b/>
                <w:bCs/>
                <w:color w:val="auto"/>
              </w:rPr>
              <w:t>劳动定员及工作制度</w:t>
            </w:r>
          </w:p>
          <w:p>
            <w:pPr>
              <w:pStyle w:val="51"/>
              <w:ind w:firstLine="480"/>
              <w:rPr>
                <w:color w:val="auto"/>
              </w:rPr>
            </w:pPr>
            <w:r>
              <w:rPr>
                <w:color w:val="auto"/>
              </w:rPr>
              <w:t>本项目劳动定员</w:t>
            </w:r>
            <w:r>
              <w:rPr>
                <w:rFonts w:hint="eastAsia"/>
                <w:color w:val="auto"/>
                <w:lang w:val="en-US" w:eastAsia="zh-CN"/>
              </w:rPr>
              <w:t>6</w:t>
            </w:r>
            <w:r>
              <w:rPr>
                <w:color w:val="auto"/>
              </w:rPr>
              <w:t>人，年生产</w:t>
            </w:r>
            <w:r>
              <w:rPr>
                <w:rFonts w:hint="eastAsia"/>
                <w:color w:val="auto"/>
                <w:lang w:val="en-US" w:eastAsia="zh-CN"/>
              </w:rPr>
              <w:t>90</w:t>
            </w:r>
            <w:r>
              <w:rPr>
                <w:color w:val="auto"/>
              </w:rPr>
              <w:t>天，</w:t>
            </w:r>
            <w:r>
              <w:rPr>
                <w:rFonts w:hint="eastAsia"/>
                <w:color w:val="auto"/>
                <w:lang w:val="en-US" w:eastAsia="zh-CN"/>
              </w:rPr>
              <w:t>1</w:t>
            </w:r>
            <w:r>
              <w:rPr>
                <w:color w:val="auto"/>
              </w:rPr>
              <w:t>班制，每班工作</w:t>
            </w:r>
            <w:r>
              <w:rPr>
                <w:rFonts w:hint="eastAsia"/>
                <w:color w:val="auto"/>
                <w:lang w:val="en-US" w:eastAsia="zh-CN"/>
              </w:rPr>
              <w:t>12</w:t>
            </w:r>
            <w:r>
              <w:rPr>
                <w:color w:val="auto"/>
              </w:rPr>
              <w:t>小时。</w:t>
            </w:r>
            <w:r>
              <w:rPr>
                <w:rFonts w:hint="eastAsia"/>
                <w:color w:val="auto"/>
              </w:rPr>
              <w:t>（夜间不生产仅导热油炉运行，防止沥青冷却）</w:t>
            </w:r>
            <w:r>
              <w:rPr>
                <w:color w:val="auto"/>
              </w:rPr>
              <w:t>厂区内</w:t>
            </w:r>
            <w:r>
              <w:rPr>
                <w:rFonts w:hint="eastAsia"/>
                <w:color w:val="auto"/>
              </w:rPr>
              <w:t>不设宿舍</w:t>
            </w:r>
            <w:r>
              <w:rPr>
                <w:color w:val="auto"/>
              </w:rPr>
              <w:t>。</w:t>
            </w:r>
            <w:r>
              <w:rPr>
                <w:rFonts w:hint="eastAsia"/>
                <w:color w:val="auto"/>
              </w:rPr>
              <w:t>沥青需持续加热，故导热油炉运行时间为</w:t>
            </w:r>
            <w:r>
              <w:rPr>
                <w:rFonts w:hint="eastAsia"/>
                <w:color w:val="auto"/>
                <w:lang w:val="en-US" w:eastAsia="zh-CN"/>
              </w:rPr>
              <w:t>90</w:t>
            </w:r>
            <w:r>
              <w:rPr>
                <w:rFonts w:hint="eastAsia"/>
                <w:color w:val="auto"/>
              </w:rPr>
              <w:t>天，每天24小时，不间断进行加热。</w:t>
            </w:r>
          </w:p>
          <w:p>
            <w:pPr>
              <w:pStyle w:val="51"/>
              <w:numPr>
                <w:ilvl w:val="0"/>
                <w:numId w:val="6"/>
              </w:numPr>
              <w:ind w:firstLine="482"/>
              <w:rPr>
                <w:b/>
                <w:bCs/>
                <w:color w:val="auto"/>
              </w:rPr>
            </w:pPr>
            <w:r>
              <w:rPr>
                <w:b/>
                <w:bCs/>
                <w:color w:val="auto"/>
              </w:rPr>
              <w:t>环保投资</w:t>
            </w:r>
          </w:p>
          <w:p>
            <w:pPr>
              <w:pStyle w:val="51"/>
              <w:ind w:firstLine="480"/>
              <w:rPr>
                <w:color w:val="auto"/>
              </w:rPr>
            </w:pPr>
            <w:r>
              <w:rPr>
                <w:color w:val="auto"/>
              </w:rPr>
              <w:t>本项目总投资</w:t>
            </w:r>
            <w:r>
              <w:rPr>
                <w:rFonts w:hint="eastAsia"/>
                <w:color w:val="auto"/>
                <w:lang w:val="en-US" w:eastAsia="zh-CN"/>
              </w:rPr>
              <w:t>500</w:t>
            </w:r>
            <w:r>
              <w:rPr>
                <w:color w:val="auto"/>
              </w:rPr>
              <w:t>万元，其中环保投资约</w:t>
            </w:r>
            <w:r>
              <w:rPr>
                <w:rFonts w:hint="eastAsia"/>
                <w:color w:val="auto"/>
                <w:lang w:val="en-US" w:eastAsia="zh-CN"/>
              </w:rPr>
              <w:t>27</w:t>
            </w:r>
            <w:r>
              <w:rPr>
                <w:color w:val="auto"/>
              </w:rPr>
              <w:t>万元，占总投资的</w:t>
            </w:r>
            <w:r>
              <w:rPr>
                <w:rFonts w:hint="eastAsia"/>
                <w:color w:val="auto"/>
                <w:lang w:val="en-US" w:eastAsia="zh-CN"/>
              </w:rPr>
              <w:t>5.4</w:t>
            </w:r>
            <w:r>
              <w:rPr>
                <w:color w:val="auto"/>
              </w:rPr>
              <w:t>%，具体分项投资见下表。</w:t>
            </w:r>
          </w:p>
          <w:p>
            <w:pPr>
              <w:pStyle w:val="55"/>
              <w:numPr>
                <w:ilvl w:val="0"/>
                <w:numId w:val="0"/>
              </w:numPr>
              <w:rPr>
                <w:color w:val="auto"/>
              </w:rPr>
            </w:pPr>
            <w:r>
              <w:rPr>
                <w:rFonts w:ascii="宋体" w:hAnsi="宋体" w:cs="宋体"/>
                <w:color w:val="auto"/>
              </w:rPr>
              <w:t>表2-</w:t>
            </w:r>
            <w:r>
              <w:rPr>
                <w:rFonts w:hint="eastAsia" w:ascii="宋体" w:hAnsi="宋体" w:cs="宋体"/>
                <w:color w:val="auto"/>
                <w:lang w:val="en-US" w:eastAsia="zh-CN"/>
              </w:rPr>
              <w:t>7</w:t>
            </w:r>
            <w:r>
              <w:rPr>
                <w:rFonts w:hint="eastAsia" w:ascii="宋体" w:hAnsi="宋体" w:cs="宋体"/>
                <w:color w:val="auto"/>
              </w:rPr>
              <w:t xml:space="preserve"> </w:t>
            </w:r>
            <w:r>
              <w:rPr>
                <w:color w:val="auto"/>
              </w:rPr>
              <w:t xml:space="preserve"> 环保投资一览表</w:t>
            </w:r>
          </w:p>
          <w:tbl>
            <w:tblPr>
              <w:tblStyle w:val="30"/>
              <w:tblW w:w="78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42"/>
              <w:gridCol w:w="1053"/>
              <w:gridCol w:w="2033"/>
              <w:gridCol w:w="2826"/>
              <w:gridCol w:w="13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00" w:hRule="atLeast"/>
                <w:jc w:val="center"/>
              </w:trPr>
              <w:tc>
                <w:tcPr>
                  <w:tcW w:w="642" w:type="dxa"/>
                  <w:tcBorders>
                    <w:top w:val="single" w:color="auto" w:sz="12" w:space="0"/>
                    <w:left w:val="nil"/>
                    <w:bottom w:val="single" w:color="auto" w:sz="4" w:space="0"/>
                    <w:right w:val="single" w:color="auto" w:sz="4" w:space="0"/>
                  </w:tcBorders>
                  <w:vAlign w:val="center"/>
                </w:tcPr>
                <w:p>
                  <w:pPr>
                    <w:pStyle w:val="54"/>
                    <w:rPr>
                      <w:b/>
                      <w:color w:val="auto"/>
                      <w:sz w:val="21"/>
                      <w:szCs w:val="21"/>
                    </w:rPr>
                  </w:pPr>
                  <w:r>
                    <w:rPr>
                      <w:b/>
                      <w:color w:val="auto"/>
                      <w:sz w:val="21"/>
                      <w:szCs w:val="21"/>
                    </w:rPr>
                    <w:t>时段</w:t>
                  </w:r>
                </w:p>
              </w:tc>
              <w:tc>
                <w:tcPr>
                  <w:tcW w:w="3086" w:type="dxa"/>
                  <w:gridSpan w:val="2"/>
                  <w:tcBorders>
                    <w:top w:val="single" w:color="auto" w:sz="12" w:space="0"/>
                    <w:left w:val="single" w:color="auto" w:sz="4" w:space="0"/>
                    <w:bottom w:val="single" w:color="auto" w:sz="4" w:space="0"/>
                    <w:right w:val="single" w:color="auto" w:sz="4" w:space="0"/>
                  </w:tcBorders>
                  <w:vAlign w:val="center"/>
                </w:tcPr>
                <w:p>
                  <w:pPr>
                    <w:pStyle w:val="54"/>
                    <w:rPr>
                      <w:b/>
                      <w:color w:val="auto"/>
                      <w:sz w:val="21"/>
                      <w:szCs w:val="21"/>
                    </w:rPr>
                  </w:pPr>
                  <w:r>
                    <w:rPr>
                      <w:b/>
                      <w:color w:val="auto"/>
                      <w:sz w:val="21"/>
                      <w:szCs w:val="21"/>
                    </w:rPr>
                    <w:t>类型</w:t>
                  </w:r>
                </w:p>
              </w:tc>
              <w:tc>
                <w:tcPr>
                  <w:tcW w:w="2826" w:type="dxa"/>
                  <w:tcBorders>
                    <w:top w:val="single" w:color="auto" w:sz="12" w:space="0"/>
                    <w:left w:val="single" w:color="auto" w:sz="4" w:space="0"/>
                    <w:bottom w:val="single" w:color="auto" w:sz="4" w:space="0"/>
                    <w:right w:val="single" w:color="auto" w:sz="4" w:space="0"/>
                  </w:tcBorders>
                  <w:vAlign w:val="center"/>
                </w:tcPr>
                <w:p>
                  <w:pPr>
                    <w:pStyle w:val="54"/>
                    <w:rPr>
                      <w:b/>
                      <w:color w:val="auto"/>
                      <w:sz w:val="21"/>
                      <w:szCs w:val="21"/>
                    </w:rPr>
                  </w:pPr>
                  <w:r>
                    <w:rPr>
                      <w:b/>
                      <w:color w:val="auto"/>
                      <w:sz w:val="21"/>
                      <w:szCs w:val="21"/>
                    </w:rPr>
                    <w:t>治理措施</w:t>
                  </w:r>
                </w:p>
              </w:tc>
              <w:tc>
                <w:tcPr>
                  <w:tcW w:w="1306" w:type="dxa"/>
                  <w:tcBorders>
                    <w:top w:val="single" w:color="auto" w:sz="12" w:space="0"/>
                    <w:left w:val="single" w:color="auto" w:sz="4" w:space="0"/>
                    <w:bottom w:val="single" w:color="auto" w:sz="4" w:space="0"/>
                    <w:right w:val="nil"/>
                  </w:tcBorders>
                  <w:vAlign w:val="center"/>
                </w:tcPr>
                <w:p>
                  <w:pPr>
                    <w:pStyle w:val="54"/>
                    <w:rPr>
                      <w:b/>
                      <w:color w:val="auto"/>
                      <w:sz w:val="21"/>
                      <w:szCs w:val="21"/>
                    </w:rPr>
                  </w:pPr>
                  <w:r>
                    <w:rPr>
                      <w:b/>
                      <w:color w:val="auto"/>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restart"/>
                  <w:tcBorders>
                    <w:left w:val="nil"/>
                    <w:right w:val="single" w:color="auto" w:sz="4" w:space="0"/>
                  </w:tcBorders>
                  <w:vAlign w:val="center"/>
                </w:tcPr>
                <w:p>
                  <w:pPr>
                    <w:pStyle w:val="54"/>
                    <w:rPr>
                      <w:color w:val="auto"/>
                      <w:sz w:val="21"/>
                      <w:szCs w:val="21"/>
                    </w:rPr>
                  </w:pPr>
                </w:p>
              </w:tc>
              <w:tc>
                <w:tcPr>
                  <w:tcW w:w="1053" w:type="dxa"/>
                  <w:tcBorders>
                    <w:left w:val="single" w:color="auto" w:sz="4" w:space="0"/>
                    <w:bottom w:val="single" w:color="auto" w:sz="4" w:space="0"/>
                    <w:right w:val="single" w:color="auto" w:sz="4" w:space="0"/>
                  </w:tcBorders>
                  <w:vAlign w:val="center"/>
                </w:tcPr>
                <w:p>
                  <w:pPr>
                    <w:pStyle w:val="54"/>
                    <w:rPr>
                      <w:color w:val="auto"/>
                      <w:sz w:val="21"/>
                      <w:szCs w:val="21"/>
                    </w:rPr>
                  </w:pPr>
                  <w:r>
                    <w:rPr>
                      <w:rFonts w:hint="eastAsia"/>
                      <w:color w:val="auto"/>
                      <w:sz w:val="21"/>
                      <w:szCs w:val="21"/>
                    </w:rPr>
                    <w:t>废水</w:t>
                  </w: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生活污水</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rPr>
                    <w:t>防渗</w:t>
                  </w:r>
                  <w:r>
                    <w:rPr>
                      <w:rFonts w:hint="eastAsia"/>
                      <w:color w:val="auto"/>
                      <w:sz w:val="21"/>
                      <w:szCs w:val="21"/>
                      <w:lang w:val="en-US" w:eastAsia="zh-CN"/>
                    </w:rPr>
                    <w:t>旱厕</w:t>
                  </w:r>
                </w:p>
              </w:tc>
              <w:tc>
                <w:tcPr>
                  <w:tcW w:w="1306" w:type="dxa"/>
                  <w:tcBorders>
                    <w:top w:val="single" w:color="auto" w:sz="4" w:space="0"/>
                    <w:left w:val="single" w:color="auto" w:sz="4" w:space="0"/>
                    <w:bottom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restart"/>
                  <w:tcBorders>
                    <w:top w:val="single" w:color="auto" w:sz="4" w:space="0"/>
                    <w:left w:val="single" w:color="auto" w:sz="4" w:space="0"/>
                    <w:right w:val="single" w:color="auto" w:sz="4" w:space="0"/>
                  </w:tcBorders>
                  <w:vAlign w:val="center"/>
                </w:tcPr>
                <w:p>
                  <w:pPr>
                    <w:pStyle w:val="54"/>
                    <w:rPr>
                      <w:color w:val="auto"/>
                      <w:sz w:val="21"/>
                      <w:szCs w:val="21"/>
                    </w:rPr>
                  </w:pPr>
                  <w:r>
                    <w:rPr>
                      <w:rFonts w:hint="eastAsia"/>
                      <w:color w:val="auto"/>
                      <w:sz w:val="21"/>
                      <w:szCs w:val="21"/>
                    </w:rPr>
                    <w:t>废气</w:t>
                  </w: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沥青混凝土堆场粉尘</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lang w:val="en-US" w:eastAsia="zh-CN"/>
                    </w:rPr>
                    <w:t>料仓</w:t>
                  </w:r>
                  <w:r>
                    <w:rPr>
                      <w:rFonts w:hint="eastAsia"/>
                      <w:color w:val="auto"/>
                      <w:sz w:val="21"/>
                      <w:szCs w:val="21"/>
                    </w:rPr>
                    <w:t>密闭</w:t>
                  </w:r>
                </w:p>
              </w:tc>
              <w:tc>
                <w:tcPr>
                  <w:tcW w:w="1306" w:type="dxa"/>
                  <w:tcBorders>
                    <w:top w:val="single" w:color="auto" w:sz="4" w:space="0"/>
                    <w:left w:val="single" w:color="auto" w:sz="4" w:space="0"/>
                    <w:bottom w:val="single" w:color="auto" w:sz="4" w:space="0"/>
                    <w:right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上料输送</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料斗位于封闭式沥青混凝土</w:t>
                  </w:r>
                  <w:r>
                    <w:rPr>
                      <w:rFonts w:hint="eastAsia"/>
                      <w:color w:val="auto"/>
                      <w:sz w:val="21"/>
                      <w:szCs w:val="21"/>
                      <w:lang w:eastAsia="zh-CN"/>
                    </w:rPr>
                    <w:t>拌和</w:t>
                  </w:r>
                  <w:r>
                    <w:rPr>
                      <w:rFonts w:hint="eastAsia"/>
                      <w:color w:val="auto"/>
                      <w:sz w:val="21"/>
                      <w:szCs w:val="21"/>
                    </w:rPr>
                    <w:t>站中</w:t>
                  </w:r>
                </w:p>
              </w:tc>
              <w:tc>
                <w:tcPr>
                  <w:tcW w:w="1306" w:type="dxa"/>
                  <w:tcBorders>
                    <w:top w:val="single" w:color="auto" w:sz="4" w:space="0"/>
                    <w:left w:val="single" w:color="auto" w:sz="4" w:space="0"/>
                    <w:bottom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骨料烘干、燃烧器燃烧、</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lang w:val="en-US" w:eastAsia="zh-CN"/>
                    </w:rPr>
                    <w:t>旋风+</w:t>
                  </w:r>
                  <w:r>
                    <w:rPr>
                      <w:rFonts w:hint="eastAsia"/>
                      <w:color w:val="auto"/>
                      <w:sz w:val="21"/>
                      <w:szCs w:val="21"/>
                    </w:rPr>
                    <w:t>布袋除尘器+</w:t>
                  </w:r>
                  <w:r>
                    <w:rPr>
                      <w:rFonts w:hint="eastAsia"/>
                      <w:color w:val="auto"/>
                      <w:sz w:val="21"/>
                      <w:szCs w:val="21"/>
                      <w:lang w:val="en-US" w:eastAsia="zh-CN"/>
                    </w:rPr>
                    <w:t>15</w:t>
                  </w:r>
                  <w:r>
                    <w:rPr>
                      <w:rFonts w:hint="eastAsia"/>
                      <w:color w:val="auto"/>
                      <w:sz w:val="21"/>
                      <w:szCs w:val="21"/>
                    </w:rPr>
                    <w:t>m高排气筒</w:t>
                  </w:r>
                </w:p>
              </w:tc>
              <w:tc>
                <w:tcPr>
                  <w:tcW w:w="1306" w:type="dxa"/>
                  <w:tcBorders>
                    <w:top w:val="single" w:color="auto" w:sz="4" w:space="0"/>
                    <w:left w:val="single" w:color="auto" w:sz="4" w:space="0"/>
                    <w:bottom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沥青搅拌</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布袋除尘器+活性炭吸附装置+</w:t>
                  </w:r>
                  <w:r>
                    <w:rPr>
                      <w:rFonts w:hint="eastAsia"/>
                      <w:color w:val="auto"/>
                      <w:sz w:val="21"/>
                      <w:szCs w:val="21"/>
                      <w:lang w:val="en-US" w:eastAsia="zh-CN"/>
                    </w:rPr>
                    <w:t>15</w:t>
                  </w:r>
                  <w:r>
                    <w:rPr>
                      <w:rFonts w:hint="eastAsia"/>
                      <w:color w:val="auto"/>
                      <w:sz w:val="21"/>
                      <w:szCs w:val="21"/>
                    </w:rPr>
                    <w:t>m高排气筒</w:t>
                  </w:r>
                </w:p>
              </w:tc>
              <w:tc>
                <w:tcPr>
                  <w:tcW w:w="1306" w:type="dxa"/>
                  <w:tcBorders>
                    <w:top w:val="single" w:color="auto" w:sz="4" w:space="0"/>
                    <w:left w:val="single" w:color="auto" w:sz="4" w:space="0"/>
                    <w:bottom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导热油炉</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低氮燃烧+1</w:t>
                  </w:r>
                  <w:r>
                    <w:rPr>
                      <w:rFonts w:hint="eastAsia"/>
                      <w:color w:val="auto"/>
                      <w:sz w:val="21"/>
                      <w:szCs w:val="21"/>
                      <w:lang w:val="en-US" w:eastAsia="zh-CN"/>
                    </w:rPr>
                    <w:t>5</w:t>
                  </w:r>
                  <w:r>
                    <w:rPr>
                      <w:rFonts w:hint="eastAsia"/>
                      <w:color w:val="auto"/>
                      <w:sz w:val="21"/>
                      <w:szCs w:val="21"/>
                    </w:rPr>
                    <w:t>m高排气筒</w:t>
                  </w:r>
                </w:p>
              </w:tc>
              <w:tc>
                <w:tcPr>
                  <w:tcW w:w="1306" w:type="dxa"/>
                  <w:tcBorders>
                    <w:top w:val="single" w:color="auto" w:sz="4" w:space="0"/>
                    <w:left w:val="single" w:color="auto" w:sz="4" w:space="0"/>
                    <w:bottom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粉料筒仓</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rPr>
                    <w:t>布袋除尘器+脉冲吹扫</w:t>
                  </w:r>
                  <w:r>
                    <w:rPr>
                      <w:rFonts w:hint="eastAsia"/>
                      <w:color w:val="auto"/>
                      <w:sz w:val="21"/>
                      <w:szCs w:val="21"/>
                      <w:lang w:val="en-US" w:eastAsia="zh-CN"/>
                    </w:rPr>
                    <w:t>+15m高排气筒排放</w:t>
                  </w:r>
                </w:p>
              </w:tc>
              <w:tc>
                <w:tcPr>
                  <w:tcW w:w="1306" w:type="dxa"/>
                  <w:tcBorders>
                    <w:top w:val="single" w:color="auto" w:sz="4" w:space="0"/>
                    <w:left w:val="single" w:color="auto" w:sz="4" w:space="0"/>
                    <w:bottom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restart"/>
                  <w:tcBorders>
                    <w:left w:val="single" w:color="auto" w:sz="4" w:space="0"/>
                    <w:right w:val="single" w:color="auto" w:sz="4" w:space="0"/>
                  </w:tcBorders>
                  <w:vAlign w:val="center"/>
                </w:tcPr>
                <w:p>
                  <w:pPr>
                    <w:pStyle w:val="54"/>
                    <w:rPr>
                      <w:color w:val="auto"/>
                      <w:sz w:val="21"/>
                      <w:szCs w:val="21"/>
                    </w:rPr>
                  </w:pPr>
                  <w:r>
                    <w:rPr>
                      <w:rFonts w:hint="eastAsia"/>
                      <w:color w:val="auto"/>
                      <w:sz w:val="21"/>
                      <w:szCs w:val="21"/>
                    </w:rPr>
                    <w:t>固体废物</w:t>
                  </w: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生活垃圾</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市政环卫部门统一清运处理</w:t>
                  </w:r>
                </w:p>
              </w:tc>
              <w:tc>
                <w:tcPr>
                  <w:tcW w:w="1306" w:type="dxa"/>
                  <w:vMerge w:val="restart"/>
                  <w:tcBorders>
                    <w:top w:val="single" w:color="auto" w:sz="4" w:space="0"/>
                    <w:left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废石料</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交由石料供应商回收处置</w:t>
                  </w:r>
                </w:p>
              </w:tc>
              <w:tc>
                <w:tcPr>
                  <w:tcW w:w="1306" w:type="dxa"/>
                  <w:vMerge w:val="continue"/>
                  <w:tcBorders>
                    <w:left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除尘器收集粉尘</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集中收集，回用与生产</w:t>
                  </w:r>
                </w:p>
              </w:tc>
              <w:tc>
                <w:tcPr>
                  <w:tcW w:w="1306" w:type="dxa"/>
                  <w:vMerge w:val="continue"/>
                  <w:tcBorders>
                    <w:left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滴漏沥青及</w:t>
                  </w:r>
                  <w:r>
                    <w:rPr>
                      <w:rFonts w:hint="eastAsia"/>
                      <w:color w:val="auto"/>
                      <w:sz w:val="21"/>
                      <w:szCs w:val="21"/>
                      <w:lang w:eastAsia="zh-CN"/>
                    </w:rPr>
                    <w:t>拌和</w:t>
                  </w:r>
                  <w:r>
                    <w:rPr>
                      <w:rFonts w:hint="eastAsia"/>
                      <w:color w:val="auto"/>
                      <w:sz w:val="21"/>
                      <w:szCs w:val="21"/>
                    </w:rPr>
                    <w:t>残渣</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收集后回用于生产</w:t>
                  </w:r>
                </w:p>
              </w:tc>
              <w:tc>
                <w:tcPr>
                  <w:tcW w:w="1306" w:type="dxa"/>
                  <w:vMerge w:val="continue"/>
                  <w:tcBorders>
                    <w:left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废布袋（收集粉尘）</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集中收集，厂家回收</w:t>
                  </w:r>
                </w:p>
              </w:tc>
              <w:tc>
                <w:tcPr>
                  <w:tcW w:w="1306" w:type="dxa"/>
                  <w:vMerge w:val="continue"/>
                  <w:tcBorders>
                    <w:left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废活性炭</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暂存于危险废物贮存点。定期交由有资质单位进行处置</w:t>
                  </w:r>
                </w:p>
              </w:tc>
              <w:tc>
                <w:tcPr>
                  <w:tcW w:w="1306" w:type="dxa"/>
                  <w:vMerge w:val="continue"/>
                  <w:tcBorders>
                    <w:left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废布袋除尘器（沥青）</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暂存于危险废物贮存点。定期交由有资质单位进行处置</w:t>
                  </w:r>
                </w:p>
              </w:tc>
              <w:tc>
                <w:tcPr>
                  <w:tcW w:w="1306" w:type="dxa"/>
                  <w:vMerge w:val="continue"/>
                  <w:tcBorders>
                    <w:left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废导热油</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暂存于危险废物贮存点。定期交由有资质单位进行处置</w:t>
                  </w:r>
                </w:p>
              </w:tc>
              <w:tc>
                <w:tcPr>
                  <w:tcW w:w="1306" w:type="dxa"/>
                  <w:vMerge w:val="continue"/>
                  <w:tcBorders>
                    <w:left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restart"/>
                  <w:tcBorders>
                    <w:left w:val="single" w:color="auto" w:sz="4" w:space="0"/>
                    <w:right w:val="single" w:color="auto" w:sz="4" w:space="0"/>
                  </w:tcBorders>
                  <w:vAlign w:val="center"/>
                </w:tcPr>
                <w:p>
                  <w:pPr>
                    <w:pStyle w:val="54"/>
                    <w:rPr>
                      <w:color w:val="auto"/>
                      <w:sz w:val="21"/>
                      <w:szCs w:val="21"/>
                    </w:rPr>
                  </w:pPr>
                  <w:r>
                    <w:rPr>
                      <w:rFonts w:hint="eastAsia"/>
                      <w:color w:val="auto"/>
                      <w:sz w:val="21"/>
                      <w:szCs w:val="21"/>
                    </w:rPr>
                    <w:t>防渗措施</w:t>
                  </w:r>
                </w:p>
              </w:tc>
              <w:tc>
                <w:tcPr>
                  <w:tcW w:w="203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sz w:val="21"/>
                      <w:szCs w:val="21"/>
                    </w:rPr>
                  </w:pPr>
                  <w:r>
                    <w:rPr>
                      <w:rFonts w:hint="eastAsia"/>
                      <w:color w:val="auto"/>
                      <w:sz w:val="21"/>
                      <w:szCs w:val="21"/>
                    </w:rPr>
                    <w:t>沥青储罐</w:t>
                  </w:r>
                </w:p>
              </w:tc>
              <w:tc>
                <w:tcPr>
                  <w:tcW w:w="282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sz w:val="21"/>
                      <w:szCs w:val="21"/>
                    </w:rPr>
                  </w:pPr>
                  <w:r>
                    <w:rPr>
                      <w:rFonts w:hint="eastAsia"/>
                      <w:color w:val="auto"/>
                      <w:sz w:val="21"/>
                      <w:szCs w:val="21"/>
                    </w:rPr>
                    <w:t>采取防渗措施，参考《环境影响评价导则 地下水环境》（HJ610-2016）中重点防渗区防渗技术要求，满足等效黏土防渗层Mb≥6m，K≤1×10</w:t>
                  </w:r>
                  <w:r>
                    <w:rPr>
                      <w:rFonts w:hint="eastAsia"/>
                      <w:color w:val="auto"/>
                      <w:sz w:val="21"/>
                      <w:szCs w:val="21"/>
                      <w:vertAlign w:val="superscript"/>
                    </w:rPr>
                    <w:t>-7</w:t>
                  </w:r>
                  <w:r>
                    <w:rPr>
                      <w:rFonts w:hint="eastAsia"/>
                      <w:color w:val="auto"/>
                      <w:sz w:val="21"/>
                      <w:szCs w:val="21"/>
                    </w:rPr>
                    <w:t>cm/s的要求，并设置非燃烧材料的防火堤围堰，防火堤内的有效容积不小于最大贮罐的容积，切断影响途径。</w:t>
                  </w:r>
                </w:p>
              </w:tc>
              <w:tc>
                <w:tcPr>
                  <w:tcW w:w="1306" w:type="dxa"/>
                  <w:vMerge w:val="restart"/>
                  <w:tcBorders>
                    <w:left w:val="single" w:color="auto" w:sz="4" w:space="0"/>
                    <w:right w:val="nil"/>
                  </w:tcBorders>
                  <w:vAlign w:val="center"/>
                </w:tcPr>
                <w:p>
                  <w:pPr>
                    <w:pStyle w:val="54"/>
                    <w:rPr>
                      <w:rFonts w:hint="eastAsia" w:eastAsia="宋体"/>
                      <w:color w:val="auto"/>
                      <w:sz w:val="21"/>
                      <w:szCs w:val="21"/>
                      <w:lang w:eastAsia="zh-CN"/>
                    </w:rPr>
                  </w:pPr>
                  <w:r>
                    <w:rPr>
                      <w:rFonts w:hint="eastAsia"/>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vMerge w:val="continue"/>
                  <w:tcBorders>
                    <w:left w:val="single" w:color="auto" w:sz="4" w:space="0"/>
                    <w:bottom w:val="single" w:color="auto" w:sz="4" w:space="0"/>
                    <w:right w:val="single" w:color="auto" w:sz="4" w:space="0"/>
                  </w:tcBorders>
                  <w:vAlign w:val="center"/>
                </w:tcPr>
                <w:p>
                  <w:pPr>
                    <w:pStyle w:val="54"/>
                    <w:rPr>
                      <w:color w:val="auto"/>
                      <w:sz w:val="21"/>
                      <w:szCs w:val="21"/>
                    </w:rPr>
                  </w:pP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危险废物贮存点</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rFonts w:hint="eastAsia"/>
                      <w:color w:val="auto"/>
                      <w:sz w:val="21"/>
                      <w:szCs w:val="21"/>
                    </w:rPr>
                    <w:t>按照《危险废物贮存污染控制标准》（GB18597-2023）要求进行防渗处理，防渗层至少为1m厚粘土层（K≤10</w:t>
                  </w:r>
                  <w:r>
                    <w:rPr>
                      <w:rFonts w:hint="eastAsia"/>
                      <w:color w:val="auto"/>
                      <w:sz w:val="21"/>
                      <w:szCs w:val="21"/>
                      <w:vertAlign w:val="superscript"/>
                    </w:rPr>
                    <w:t>-7</w:t>
                  </w:r>
                  <w:r>
                    <w:rPr>
                      <w:rFonts w:hint="eastAsia"/>
                      <w:color w:val="auto"/>
                      <w:sz w:val="21"/>
                      <w:szCs w:val="21"/>
                    </w:rPr>
                    <w:t>cm/s）或2mm厚高密度聚乙烯，或至少2mm厚的其他人工材料，K≤10</w:t>
                  </w:r>
                  <w:r>
                    <w:rPr>
                      <w:rFonts w:hint="eastAsia"/>
                      <w:color w:val="auto"/>
                      <w:sz w:val="21"/>
                      <w:szCs w:val="21"/>
                      <w:vertAlign w:val="superscript"/>
                    </w:rPr>
                    <w:t>-10</w:t>
                  </w:r>
                  <w:r>
                    <w:rPr>
                      <w:rFonts w:hint="eastAsia"/>
                      <w:color w:val="auto"/>
                      <w:sz w:val="21"/>
                      <w:szCs w:val="21"/>
                    </w:rPr>
                    <w:t>cm/s。</w:t>
                  </w:r>
                </w:p>
              </w:tc>
              <w:tc>
                <w:tcPr>
                  <w:tcW w:w="1306" w:type="dxa"/>
                  <w:vMerge w:val="continue"/>
                  <w:tcBorders>
                    <w:left w:val="single" w:color="auto" w:sz="4" w:space="0"/>
                    <w:bottom w:val="single" w:color="auto" w:sz="4" w:space="0"/>
                    <w:right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24" w:hRule="atLeast"/>
                <w:jc w:val="center"/>
              </w:trPr>
              <w:tc>
                <w:tcPr>
                  <w:tcW w:w="642" w:type="dxa"/>
                  <w:vMerge w:val="continue"/>
                  <w:tcBorders>
                    <w:left w:val="nil"/>
                    <w:right w:val="single" w:color="auto" w:sz="4" w:space="0"/>
                  </w:tcBorders>
                  <w:vAlign w:val="center"/>
                </w:tcPr>
                <w:p>
                  <w:pPr>
                    <w:pStyle w:val="54"/>
                    <w:rPr>
                      <w:color w:val="auto"/>
                      <w:sz w:val="21"/>
                      <w:szCs w:val="21"/>
                    </w:rPr>
                  </w:pPr>
                </w:p>
              </w:tc>
              <w:tc>
                <w:tcPr>
                  <w:tcW w:w="10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color w:val="auto"/>
                      <w:sz w:val="21"/>
                      <w:szCs w:val="21"/>
                    </w:rPr>
                    <w:t>运行维护</w:t>
                  </w:r>
                </w:p>
              </w:tc>
              <w:tc>
                <w:tcPr>
                  <w:tcW w:w="20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color w:val="auto"/>
                      <w:sz w:val="21"/>
                      <w:szCs w:val="21"/>
                    </w:rPr>
                    <w:t>运行维护</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color w:val="auto"/>
                      <w:sz w:val="21"/>
                      <w:szCs w:val="21"/>
                    </w:rPr>
                    <w:t>设备运行维护</w:t>
                  </w:r>
                </w:p>
              </w:tc>
              <w:tc>
                <w:tcPr>
                  <w:tcW w:w="1306" w:type="dxa"/>
                  <w:tcBorders>
                    <w:top w:val="single" w:color="auto" w:sz="4" w:space="0"/>
                    <w:left w:val="single" w:color="auto" w:sz="4" w:space="0"/>
                    <w:bottom w:val="single" w:color="auto" w:sz="4" w:space="0"/>
                    <w:right w:val="nil"/>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24" w:hRule="atLeast"/>
                <w:jc w:val="center"/>
              </w:trPr>
              <w:tc>
                <w:tcPr>
                  <w:tcW w:w="642" w:type="dxa"/>
                  <w:vMerge w:val="continue"/>
                  <w:tcBorders>
                    <w:left w:val="nil"/>
                    <w:bottom w:val="single" w:color="auto" w:sz="4" w:space="0"/>
                    <w:right w:val="single" w:color="auto" w:sz="4" w:space="0"/>
                  </w:tcBorders>
                  <w:vAlign w:val="center"/>
                </w:tcPr>
                <w:p>
                  <w:pPr>
                    <w:pStyle w:val="54"/>
                    <w:rPr>
                      <w:color w:val="auto"/>
                      <w:sz w:val="21"/>
                      <w:szCs w:val="21"/>
                    </w:rPr>
                  </w:pPr>
                </w:p>
              </w:tc>
              <w:tc>
                <w:tcPr>
                  <w:tcW w:w="3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color w:val="auto"/>
                      <w:sz w:val="21"/>
                      <w:szCs w:val="21"/>
                    </w:rPr>
                    <w:t>自主监测</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color w:val="auto"/>
                      <w:sz w:val="21"/>
                      <w:szCs w:val="21"/>
                    </w:rPr>
                    <w:t>废气、噪声</w:t>
                  </w:r>
                </w:p>
              </w:tc>
              <w:tc>
                <w:tcPr>
                  <w:tcW w:w="1306" w:type="dxa"/>
                  <w:tcBorders>
                    <w:top w:val="single" w:color="auto" w:sz="4" w:space="0"/>
                    <w:left w:val="single" w:color="auto" w:sz="4" w:space="0"/>
                    <w:bottom w:val="single" w:color="auto" w:sz="4" w:space="0"/>
                    <w:right w:val="nil"/>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417" w:hRule="atLeast"/>
                <w:jc w:val="center"/>
              </w:trPr>
              <w:tc>
                <w:tcPr>
                  <w:tcW w:w="6554" w:type="dxa"/>
                  <w:gridSpan w:val="4"/>
                  <w:tcBorders>
                    <w:top w:val="single" w:color="auto" w:sz="4" w:space="0"/>
                    <w:left w:val="nil"/>
                    <w:bottom w:val="single" w:color="auto" w:sz="12" w:space="0"/>
                    <w:right w:val="single" w:color="auto" w:sz="4" w:space="0"/>
                  </w:tcBorders>
                  <w:vAlign w:val="center"/>
                </w:tcPr>
                <w:p>
                  <w:pPr>
                    <w:adjustRightInd w:val="0"/>
                    <w:snapToGrid w:val="0"/>
                    <w:jc w:val="center"/>
                    <w:rPr>
                      <w:color w:val="auto"/>
                      <w:sz w:val="21"/>
                      <w:szCs w:val="21"/>
                    </w:rPr>
                  </w:pPr>
                  <w:r>
                    <w:rPr>
                      <w:color w:val="auto"/>
                      <w:sz w:val="21"/>
                      <w:szCs w:val="21"/>
                    </w:rPr>
                    <w:t>合计</w:t>
                  </w:r>
                </w:p>
              </w:tc>
              <w:tc>
                <w:tcPr>
                  <w:tcW w:w="1306" w:type="dxa"/>
                  <w:tcBorders>
                    <w:top w:val="single" w:color="auto" w:sz="4" w:space="0"/>
                    <w:left w:val="single" w:color="auto" w:sz="4" w:space="0"/>
                    <w:bottom w:val="single" w:color="auto" w:sz="12" w:space="0"/>
                    <w:right w:val="nil"/>
                  </w:tcBorders>
                  <w:vAlign w:val="center"/>
                </w:tcPr>
                <w:p>
                  <w:pPr>
                    <w:adjustRightInd w:val="0"/>
                    <w:snapToGrid w:val="0"/>
                    <w:jc w:val="center"/>
                    <w:rPr>
                      <w:color w:val="auto"/>
                      <w:sz w:val="21"/>
                      <w:szCs w:val="21"/>
                    </w:rPr>
                  </w:pPr>
                  <w:r>
                    <w:rPr>
                      <w:rFonts w:hint="eastAsia"/>
                      <w:color w:val="auto"/>
                      <w:sz w:val="21"/>
                      <w:szCs w:val="21"/>
                    </w:rPr>
                    <w:t>81</w:t>
                  </w:r>
                </w:p>
              </w:tc>
            </w:tr>
          </w:tbl>
          <w:p>
            <w:pPr>
              <w:pStyle w:val="51"/>
              <w:numPr>
                <w:ilvl w:val="0"/>
                <w:numId w:val="6"/>
              </w:numPr>
              <w:ind w:firstLine="482"/>
              <w:rPr>
                <w:b/>
                <w:bCs/>
                <w:color w:val="auto"/>
              </w:rPr>
            </w:pPr>
            <w:r>
              <w:rPr>
                <w:rFonts w:hint="eastAsia"/>
                <w:b/>
                <w:bCs/>
                <w:color w:val="auto"/>
              </w:rPr>
              <w:t>总平面布置</w:t>
            </w:r>
          </w:p>
          <w:p>
            <w:pPr>
              <w:pStyle w:val="51"/>
              <w:ind w:firstLine="480"/>
              <w:jc w:val="both"/>
              <w:rPr>
                <w:color w:val="auto"/>
              </w:rPr>
            </w:pPr>
            <w:r>
              <w:rPr>
                <w:rFonts w:hint="eastAsia"/>
                <w:color w:val="auto"/>
              </w:rPr>
              <w:t>本项目沥青生产区位于厂区</w:t>
            </w:r>
            <w:r>
              <w:rPr>
                <w:rFonts w:hint="eastAsia"/>
                <w:color w:val="auto"/>
                <w:lang w:val="en-US" w:eastAsia="zh-CN"/>
              </w:rPr>
              <w:t>东</w:t>
            </w:r>
            <w:r>
              <w:rPr>
                <w:rFonts w:hint="eastAsia"/>
                <w:color w:val="auto"/>
              </w:rPr>
              <w:t>侧，沥青料仓位于厂区</w:t>
            </w:r>
            <w:r>
              <w:rPr>
                <w:rFonts w:hint="eastAsia"/>
                <w:color w:val="auto"/>
                <w:lang w:val="en-US" w:eastAsia="zh-CN"/>
              </w:rPr>
              <w:t>西、南</w:t>
            </w:r>
            <w:r>
              <w:rPr>
                <w:rFonts w:hint="eastAsia"/>
                <w:color w:val="auto"/>
              </w:rPr>
              <w:t>侧。本项目平面布置功能分区合理、布局紧凑、各个建筑物的布置均满足工艺需要。项目所在地道路系统完善，有利于原料及产品的运输。因此，本项目平面布置合理。</w:t>
            </w:r>
          </w:p>
          <w:p>
            <w:pPr>
              <w:pStyle w:val="51"/>
              <w:ind w:firstLine="480"/>
              <w:jc w:val="both"/>
              <w:rPr>
                <w:color w:val="auto"/>
              </w:rPr>
            </w:pPr>
            <w:r>
              <w:rPr>
                <w:rFonts w:hint="eastAsia"/>
                <w:color w:val="auto"/>
              </w:rPr>
              <w:t>厂区平面布置图见附图2。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9" w:hRule="atLeast"/>
        </w:trPr>
        <w:tc>
          <w:tcPr>
            <w:tcW w:w="446" w:type="dxa"/>
            <w:vAlign w:val="center"/>
          </w:tcPr>
          <w:p>
            <w:pPr>
              <w:jc w:val="center"/>
              <w:rPr>
                <w:color w:val="auto"/>
              </w:rPr>
            </w:pPr>
            <w:r>
              <w:rPr>
                <w:color w:val="auto"/>
              </w:rPr>
              <w:t>工艺流程和产排污环节</w:t>
            </w:r>
          </w:p>
        </w:tc>
        <w:tc>
          <w:tcPr>
            <w:tcW w:w="8076" w:type="dxa"/>
          </w:tcPr>
          <w:p>
            <w:pPr>
              <w:pStyle w:val="73"/>
              <w:spacing w:line="360" w:lineRule="auto"/>
              <w:ind w:firstLine="480"/>
              <w:rPr>
                <w:color w:val="auto"/>
              </w:rPr>
            </w:pPr>
            <w:r>
              <w:rPr>
                <w:rFonts w:hint="eastAsia"/>
                <w:color w:val="auto"/>
              </w:rPr>
              <w:t>一、施工期施工工艺及产污环节</w:t>
            </w:r>
          </w:p>
          <w:p>
            <w:pPr>
              <w:pStyle w:val="73"/>
              <w:spacing w:line="240" w:lineRule="auto"/>
              <w:ind w:firstLine="4" w:firstLineChars="2"/>
              <w:jc w:val="center"/>
              <w:rPr>
                <w:color w:val="auto"/>
              </w:rPr>
            </w:pPr>
            <w:r>
              <w:rPr>
                <w:color w:val="auto"/>
              </w:rPr>
              <w:drawing>
                <wp:inline distT="0" distB="0" distL="114300" distR="114300">
                  <wp:extent cx="3961130" cy="2303780"/>
                  <wp:effectExtent l="0" t="0" r="1270" b="1270"/>
                  <wp:docPr id="1" name="图片 3" descr="微信截图_2020102913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截图_20201029130339.png"/>
                          <pic:cNvPicPr>
                            <a:picLocks noChangeAspect="1"/>
                          </pic:cNvPicPr>
                        </pic:nvPicPr>
                        <pic:blipFill>
                          <a:blip r:embed="rId16"/>
                          <a:stretch>
                            <a:fillRect/>
                          </a:stretch>
                        </pic:blipFill>
                        <pic:spPr>
                          <a:xfrm>
                            <a:off x="0" y="0"/>
                            <a:ext cx="3961130" cy="2303780"/>
                          </a:xfrm>
                          <a:prstGeom prst="rect">
                            <a:avLst/>
                          </a:prstGeom>
                          <a:noFill/>
                          <a:ln>
                            <a:noFill/>
                          </a:ln>
                        </pic:spPr>
                      </pic:pic>
                    </a:graphicData>
                  </a:graphic>
                </wp:inline>
              </w:drawing>
            </w:r>
          </w:p>
          <w:p>
            <w:pPr>
              <w:pStyle w:val="3"/>
              <w:spacing w:line="360" w:lineRule="auto"/>
              <w:rPr>
                <w:b/>
                <w:color w:val="auto"/>
                <w:sz w:val="24"/>
                <w:u w:color="000000"/>
              </w:rPr>
            </w:pPr>
            <w:r>
              <w:rPr>
                <w:b/>
                <w:color w:val="auto"/>
                <w:sz w:val="24"/>
                <w:u w:color="000000"/>
              </w:rPr>
              <w:t>图2-</w:t>
            </w:r>
            <w:r>
              <w:rPr>
                <w:rFonts w:hint="eastAsia"/>
                <w:b/>
                <w:color w:val="auto"/>
                <w:sz w:val="24"/>
                <w:u w:color="000000"/>
              </w:rPr>
              <w:t>2</w:t>
            </w:r>
            <w:r>
              <w:rPr>
                <w:b/>
                <w:color w:val="auto"/>
                <w:sz w:val="24"/>
                <w:u w:color="000000"/>
              </w:rPr>
              <w:t xml:space="preserve">  </w:t>
            </w:r>
            <w:r>
              <w:rPr>
                <w:rFonts w:hint="eastAsia"/>
                <w:b/>
                <w:color w:val="auto"/>
                <w:sz w:val="24"/>
                <w:u w:color="000000"/>
              </w:rPr>
              <w:t>施工期</w:t>
            </w:r>
            <w:r>
              <w:rPr>
                <w:b/>
                <w:color w:val="auto"/>
                <w:sz w:val="24"/>
                <w:u w:color="000000"/>
              </w:rPr>
              <w:t>工艺流程及产污环节示意图</w:t>
            </w:r>
          </w:p>
          <w:p>
            <w:pPr>
              <w:pStyle w:val="73"/>
              <w:spacing w:line="360" w:lineRule="auto"/>
              <w:ind w:firstLine="480"/>
              <w:rPr>
                <w:color w:val="auto"/>
                <w:szCs w:val="24"/>
              </w:rPr>
            </w:pPr>
            <w:r>
              <w:rPr>
                <w:rFonts w:hint="eastAsia"/>
                <w:color w:val="auto"/>
                <w:szCs w:val="24"/>
              </w:rPr>
              <w:t>二、运营期施工工艺及产污环节</w:t>
            </w:r>
          </w:p>
          <w:p>
            <w:pPr>
              <w:spacing w:line="360" w:lineRule="auto"/>
              <w:ind w:firstLine="508" w:firstLineChars="200"/>
              <w:rPr>
                <w:color w:val="auto"/>
              </w:rPr>
            </w:pPr>
            <w:r>
              <w:rPr>
                <w:color w:val="auto"/>
                <w:spacing w:val="7"/>
              </w:rPr>
              <w:t>沥青混凝土是由沥青、骨料（碎石）和粉料（矿粉）混合拌制而成，具体工</w:t>
            </w:r>
            <w:r>
              <w:rPr>
                <w:color w:val="auto"/>
                <w:spacing w:val="9"/>
              </w:rPr>
              <w:t>艺流程可分为沥青预处理和骨料预处理工序，</w:t>
            </w:r>
            <w:r>
              <w:rPr>
                <w:color w:val="auto"/>
                <w:spacing w:val="8"/>
              </w:rPr>
              <w:t>而后进入搅拌</w:t>
            </w:r>
            <w:r>
              <w:rPr>
                <w:rFonts w:hint="eastAsia"/>
                <w:color w:val="auto"/>
                <w:spacing w:val="8"/>
                <w:lang w:eastAsia="zh-CN"/>
              </w:rPr>
              <w:t>拌和</w:t>
            </w:r>
            <w:r>
              <w:rPr>
                <w:color w:val="auto"/>
                <w:spacing w:val="8"/>
              </w:rPr>
              <w:t>后即成为成品。</w:t>
            </w:r>
          </w:p>
          <w:p>
            <w:pPr>
              <w:spacing w:line="360" w:lineRule="auto"/>
              <w:ind w:firstLine="480" w:firstLineChars="200"/>
              <w:rPr>
                <w:color w:val="auto"/>
              </w:rPr>
            </w:pPr>
            <w:r>
              <w:rPr>
                <w:color w:val="auto"/>
                <w:position w:val="-122"/>
              </w:rPr>
              <w:drawing>
                <wp:inline distT="0" distB="0" distL="0" distR="0">
                  <wp:extent cx="4186555" cy="3755390"/>
                  <wp:effectExtent l="0" t="0" r="4445" b="16510"/>
                  <wp:docPr id="56" name="IM 10"/>
                  <wp:cNvGraphicFramePr/>
                  <a:graphic xmlns:a="http://schemas.openxmlformats.org/drawingml/2006/main">
                    <a:graphicData uri="http://schemas.openxmlformats.org/drawingml/2006/picture">
                      <pic:pic xmlns:pic="http://schemas.openxmlformats.org/drawingml/2006/picture">
                        <pic:nvPicPr>
                          <pic:cNvPr id="56" name="IM 10"/>
                          <pic:cNvPicPr/>
                        </pic:nvPicPr>
                        <pic:blipFill>
                          <a:blip r:embed="rId17"/>
                          <a:stretch>
                            <a:fillRect/>
                          </a:stretch>
                        </pic:blipFill>
                        <pic:spPr>
                          <a:xfrm>
                            <a:off x="0" y="0"/>
                            <a:ext cx="4186555" cy="3755390"/>
                          </a:xfrm>
                          <a:prstGeom prst="rect">
                            <a:avLst/>
                          </a:prstGeom>
                        </pic:spPr>
                      </pic:pic>
                    </a:graphicData>
                  </a:graphic>
                </wp:inline>
              </w:drawing>
            </w:r>
          </w:p>
          <w:p>
            <w:pPr>
              <w:pStyle w:val="3"/>
              <w:spacing w:line="360" w:lineRule="auto"/>
              <w:rPr>
                <w:color w:val="auto"/>
                <w:spacing w:val="7"/>
                <w:sz w:val="24"/>
              </w:rPr>
            </w:pPr>
            <w:r>
              <w:rPr>
                <w:b/>
                <w:color w:val="auto"/>
                <w:sz w:val="24"/>
                <w:u w:color="000000"/>
              </w:rPr>
              <w:t>图2-</w:t>
            </w:r>
            <w:r>
              <w:rPr>
                <w:rFonts w:hint="eastAsia"/>
                <w:b/>
                <w:color w:val="auto"/>
                <w:sz w:val="24"/>
                <w:u w:color="000000"/>
              </w:rPr>
              <w:t>3</w:t>
            </w:r>
            <w:r>
              <w:rPr>
                <w:b/>
                <w:color w:val="auto"/>
                <w:sz w:val="24"/>
                <w:u w:color="000000"/>
              </w:rPr>
              <w:t xml:space="preserve">  </w:t>
            </w:r>
            <w:r>
              <w:rPr>
                <w:rFonts w:hint="eastAsia"/>
                <w:b/>
                <w:color w:val="auto"/>
                <w:sz w:val="24"/>
                <w:u w:color="000000"/>
              </w:rPr>
              <w:t>沥青混凝土生产工艺流程图及产污节点</w:t>
            </w:r>
            <w:r>
              <w:rPr>
                <w:b/>
                <w:color w:val="auto"/>
                <w:sz w:val="24"/>
                <w:u w:color="000000"/>
              </w:rPr>
              <w:t>图</w:t>
            </w:r>
          </w:p>
          <w:p>
            <w:pPr>
              <w:pStyle w:val="100"/>
              <w:spacing w:before="164" w:line="360" w:lineRule="auto"/>
              <w:ind w:left="537"/>
              <w:rPr>
                <w:rFonts w:ascii="Times New Roman" w:hAnsi="Times New Roman" w:cs="Times New Roman"/>
                <w:color w:val="auto"/>
                <w:spacing w:val="7"/>
                <w:sz w:val="24"/>
                <w:szCs w:val="24"/>
                <w:lang w:eastAsia="zh-CN"/>
              </w:rPr>
            </w:pPr>
            <w:r>
              <w:rPr>
                <w:rFonts w:ascii="Times New Roman" w:hAnsi="Times New Roman" w:cs="Times New Roman"/>
                <w:color w:val="auto"/>
                <w:spacing w:val="7"/>
                <w:sz w:val="24"/>
                <w:szCs w:val="24"/>
                <w:lang w:eastAsia="zh-CN"/>
              </w:rPr>
              <w:t>（1）原料处理工序</w:t>
            </w:r>
          </w:p>
          <w:p>
            <w:pPr>
              <w:spacing w:line="360" w:lineRule="auto"/>
              <w:ind w:firstLine="508" w:firstLineChars="200"/>
              <w:rPr>
                <w:color w:val="auto"/>
                <w:spacing w:val="7"/>
              </w:rPr>
            </w:pPr>
            <w:r>
              <w:rPr>
                <w:color w:val="auto"/>
                <w:spacing w:val="7"/>
              </w:rPr>
              <w:t>①沥青预处理流程：沥青由专用沥青槽罐车通过密闭沥青管道送至沥青储罐，项目沥青罐及其附属管道，采用导热油炉加热热质来传热、保温，加热温度在120-180℃之间。导热油炉系统通过循环泵强制导热油进行闭路循环，对沥青罐、沥青管道等进行加热、保温，沥青罐正常生产过程加热温度一般为160℃</w:t>
            </w:r>
            <w:r>
              <w:rPr>
                <w:rFonts w:hint="eastAsia"/>
                <w:color w:val="auto"/>
                <w:spacing w:val="7"/>
              </w:rPr>
              <w:t>，</w:t>
            </w:r>
            <w:r>
              <w:rPr>
                <w:color w:val="auto"/>
                <w:spacing w:val="7"/>
              </w:rPr>
              <w:t>非生产时段保温温度为120℃。加热后的沥青再经沥青泵送到沥青计量器，按一定的配合比分重量后，通过专门沥青输送管道送入搅拌系统的搅拌机内与骨料（碎石）混合。此流程中，导热油炉加热过程将产生废气，加热沥青储罐时储罐呼吸孔产生沥青烟，此外还产生设备噪声。</w:t>
            </w:r>
          </w:p>
          <w:p>
            <w:pPr>
              <w:spacing w:line="360" w:lineRule="auto"/>
              <w:ind w:firstLine="508" w:firstLineChars="200"/>
              <w:rPr>
                <w:color w:val="auto"/>
                <w:spacing w:val="7"/>
              </w:rPr>
            </w:pPr>
            <w:r>
              <w:rPr>
                <w:color w:val="auto"/>
                <w:spacing w:val="7"/>
              </w:rPr>
              <w:t>②骨料（碎石）预处理流程：本项目骨料厂内不进行破碎，骨料预处理主要为加热工序。骨料从料场以铲车送入料斗，然后通过密闭的皮带输送机自动进料。为使沥青混凝土产品不至于因过快冷却而带来运输上的不便，骨料也要经过加热处理。骨料由皮带输送机送入干燥滚筒，</w:t>
            </w:r>
            <w:r>
              <w:rPr>
                <w:rFonts w:hint="eastAsia"/>
                <w:color w:val="auto"/>
                <w:spacing w:val="7"/>
                <w:lang w:val="en-US" w:eastAsia="zh-CN"/>
              </w:rPr>
              <w:t>天然气</w:t>
            </w:r>
            <w:r>
              <w:rPr>
                <w:color w:val="auto"/>
                <w:spacing w:val="7"/>
              </w:rPr>
              <w:t>为燃料，在其中不断加热，干燥滚筒不停转动，以使骨料受热均匀，随后，加热的骨料经计量后由热骨料提升机送入热骨料仓暂存，经称量后进入沥青混凝土搅拌机设备；该过程将产生粉尘、噪声，干燥滚筒燃烧器将产生烟气，输送、干燥、提升产生的粉尘由系统设置的除尘设备进行收尘处理，捕集的粉尘可作为原料进入沥青混凝土</w:t>
            </w:r>
            <w:r>
              <w:rPr>
                <w:rFonts w:hint="eastAsia"/>
                <w:color w:val="auto"/>
                <w:spacing w:val="7"/>
                <w:lang w:eastAsia="zh-CN"/>
              </w:rPr>
              <w:t>拌和站</w:t>
            </w:r>
            <w:r>
              <w:rPr>
                <w:color w:val="auto"/>
                <w:spacing w:val="7"/>
              </w:rPr>
              <w:t>设备。</w:t>
            </w:r>
          </w:p>
          <w:p>
            <w:pPr>
              <w:spacing w:line="360" w:lineRule="auto"/>
              <w:ind w:firstLine="508" w:firstLineChars="200"/>
              <w:rPr>
                <w:color w:val="auto"/>
                <w:spacing w:val="7"/>
              </w:rPr>
            </w:pPr>
            <w:r>
              <w:rPr>
                <w:rFonts w:hint="eastAsia"/>
                <w:color w:val="auto"/>
                <w:spacing w:val="7"/>
              </w:rPr>
              <w:t>③粉料（矿粉）配料流程：进入搅拌机搅拌的还有料粉，料粉由罐车通过气力输送至粉料仓，再由螺旋给料机密闭管道输送至搅拌机。该过程将产生粉尘、噪声。</w:t>
            </w:r>
          </w:p>
          <w:p>
            <w:pPr>
              <w:spacing w:line="360" w:lineRule="auto"/>
              <w:ind w:firstLine="508" w:firstLineChars="200"/>
              <w:rPr>
                <w:color w:val="auto"/>
                <w:spacing w:val="7"/>
              </w:rPr>
            </w:pPr>
            <w:r>
              <w:rPr>
                <w:rFonts w:hint="eastAsia"/>
                <w:color w:val="auto"/>
                <w:spacing w:val="7"/>
              </w:rPr>
              <w:t>④搅拌混合工序</w:t>
            </w:r>
          </w:p>
          <w:p>
            <w:pPr>
              <w:spacing w:line="360" w:lineRule="auto"/>
              <w:ind w:firstLine="508" w:firstLineChars="200"/>
              <w:rPr>
                <w:color w:val="auto"/>
                <w:spacing w:val="7"/>
              </w:rPr>
            </w:pPr>
            <w:r>
              <w:rPr>
                <w:rFonts w:hint="eastAsia"/>
                <w:color w:val="auto"/>
                <w:spacing w:val="7"/>
              </w:rPr>
              <w:t>热沥青通过专门管道送入搅拌系统的搅拌机内，与热骨料（碎石）、粉料（矿粉）一起进行自落式搅拌后卸出，产品整个生产工艺在密闭系统中进行。成品经过出料口直接进入</w:t>
            </w:r>
            <w:r>
              <w:rPr>
                <w:rFonts w:hint="eastAsia"/>
                <w:color w:val="auto"/>
                <w:spacing w:val="7"/>
                <w:lang w:val="en-US" w:eastAsia="zh-CN"/>
              </w:rPr>
              <w:t>热储仓</w:t>
            </w:r>
            <w:r>
              <w:rPr>
                <w:rFonts w:hint="eastAsia"/>
                <w:color w:val="auto"/>
                <w:spacing w:val="7"/>
              </w:rPr>
              <w:t>，然后通过专门的沥青混凝土车辆外运。生产出料过程为间断式，出料温度150-170</w:t>
            </w:r>
            <w:r>
              <w:rPr>
                <w:color w:val="auto"/>
                <w:spacing w:val="7"/>
              </w:rPr>
              <w:t>℃</w:t>
            </w:r>
            <w:r>
              <w:rPr>
                <w:rFonts w:hint="eastAsia"/>
                <w:color w:val="auto"/>
                <w:spacing w:val="7"/>
              </w:rPr>
              <w:t>，该过程将产生沥青烟。</w:t>
            </w:r>
          </w:p>
          <w:p>
            <w:pPr>
              <w:pStyle w:val="52"/>
              <w:spacing w:line="360" w:lineRule="auto"/>
              <w:ind w:firstLine="480" w:firstLineChars="200"/>
              <w:jc w:val="both"/>
              <w:rPr>
                <w:rFonts w:eastAsia="宋体"/>
                <w:color w:val="auto"/>
              </w:rPr>
            </w:pPr>
            <w:r>
              <w:rPr>
                <w:rFonts w:hint="eastAsia" w:eastAsia="宋体"/>
                <w:color w:val="auto"/>
              </w:rPr>
              <w:t>生产出的沥青混凝土由运输车直接装运，送往施工工地。</w:t>
            </w:r>
          </w:p>
          <w:p>
            <w:pPr>
              <w:pStyle w:val="52"/>
              <w:rPr>
                <w:rFonts w:eastAsia="宋体"/>
                <w:b/>
                <w:bCs/>
                <w:color w:val="auto"/>
              </w:rPr>
            </w:pPr>
            <w:r>
              <w:rPr>
                <w:rFonts w:eastAsia="宋体"/>
                <w:b/>
                <w:bCs/>
                <w:color w:val="auto"/>
              </w:rPr>
              <w:t>表2-</w:t>
            </w:r>
            <w:r>
              <w:rPr>
                <w:rFonts w:hint="eastAsia" w:eastAsia="宋体"/>
                <w:b/>
                <w:bCs/>
                <w:color w:val="auto"/>
                <w:lang w:val="en-US" w:eastAsia="zh-CN"/>
              </w:rPr>
              <w:t>8</w:t>
            </w:r>
            <w:r>
              <w:rPr>
                <w:rFonts w:eastAsia="宋体"/>
                <w:b/>
                <w:bCs/>
                <w:color w:val="auto"/>
              </w:rPr>
              <w:t xml:space="preserve">  营运期主要污染工序一览表</w:t>
            </w:r>
          </w:p>
          <w:tbl>
            <w:tblPr>
              <w:tblStyle w:val="30"/>
              <w:tblW w:w="785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818"/>
              <w:gridCol w:w="3030"/>
              <w:gridCol w:w="2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919" w:type="dxa"/>
                  <w:vAlign w:val="center"/>
                </w:tcPr>
                <w:p>
                  <w:pPr>
                    <w:adjustRightInd w:val="0"/>
                    <w:snapToGrid w:val="0"/>
                    <w:jc w:val="center"/>
                    <w:rPr>
                      <w:rFonts w:hAnsi="宋体" w:cs="宋体"/>
                      <w:b/>
                      <w:bCs/>
                      <w:color w:val="auto"/>
                      <w:sz w:val="21"/>
                      <w:szCs w:val="21"/>
                    </w:rPr>
                  </w:pPr>
                  <w:r>
                    <w:rPr>
                      <w:rFonts w:hint="eastAsia" w:hAnsi="宋体" w:cs="宋体"/>
                      <w:b/>
                      <w:bCs/>
                      <w:color w:val="auto"/>
                      <w:sz w:val="21"/>
                      <w:szCs w:val="21"/>
                    </w:rPr>
                    <w:t>污染类别</w:t>
                  </w:r>
                </w:p>
              </w:tc>
              <w:tc>
                <w:tcPr>
                  <w:tcW w:w="1818" w:type="dxa"/>
                  <w:vAlign w:val="center"/>
                </w:tcPr>
                <w:p>
                  <w:pPr>
                    <w:adjustRightInd w:val="0"/>
                    <w:snapToGrid w:val="0"/>
                    <w:jc w:val="center"/>
                    <w:rPr>
                      <w:rFonts w:hAnsi="宋体" w:cs="宋体"/>
                      <w:b/>
                      <w:bCs/>
                      <w:color w:val="auto"/>
                      <w:sz w:val="21"/>
                      <w:szCs w:val="21"/>
                    </w:rPr>
                  </w:pPr>
                  <w:r>
                    <w:rPr>
                      <w:rFonts w:hint="eastAsia" w:hAnsi="宋体" w:cs="宋体"/>
                      <w:b/>
                      <w:bCs/>
                      <w:color w:val="auto"/>
                      <w:sz w:val="21"/>
                      <w:szCs w:val="21"/>
                    </w:rPr>
                    <w:t>主要污染源</w:t>
                  </w:r>
                </w:p>
              </w:tc>
              <w:tc>
                <w:tcPr>
                  <w:tcW w:w="3030" w:type="dxa"/>
                  <w:vAlign w:val="center"/>
                </w:tcPr>
                <w:p>
                  <w:pPr>
                    <w:adjustRightInd w:val="0"/>
                    <w:snapToGrid w:val="0"/>
                    <w:jc w:val="center"/>
                    <w:rPr>
                      <w:rFonts w:hAnsi="宋体" w:cs="宋体"/>
                      <w:b/>
                      <w:bCs/>
                      <w:color w:val="auto"/>
                      <w:sz w:val="21"/>
                      <w:szCs w:val="21"/>
                    </w:rPr>
                  </w:pPr>
                  <w:r>
                    <w:rPr>
                      <w:rFonts w:hint="eastAsia" w:hAnsi="宋体" w:cs="宋体"/>
                      <w:b/>
                      <w:bCs/>
                      <w:color w:val="auto"/>
                      <w:sz w:val="21"/>
                      <w:szCs w:val="21"/>
                    </w:rPr>
                    <w:t>产生工序</w:t>
                  </w:r>
                </w:p>
              </w:tc>
              <w:tc>
                <w:tcPr>
                  <w:tcW w:w="2090" w:type="dxa"/>
                  <w:vAlign w:val="center"/>
                </w:tcPr>
                <w:p>
                  <w:pPr>
                    <w:adjustRightInd w:val="0"/>
                    <w:snapToGrid w:val="0"/>
                    <w:jc w:val="center"/>
                    <w:rPr>
                      <w:rFonts w:hAnsi="宋体" w:cs="宋体"/>
                      <w:b/>
                      <w:bCs/>
                      <w:color w:val="auto"/>
                      <w:sz w:val="21"/>
                      <w:szCs w:val="21"/>
                    </w:rPr>
                  </w:pPr>
                  <w:r>
                    <w:rPr>
                      <w:rFonts w:hint="eastAsia" w:hAnsi="宋体" w:cs="宋体"/>
                      <w:b/>
                      <w:bCs/>
                      <w:color w:val="auto"/>
                      <w:sz w:val="21"/>
                      <w:szCs w:val="21"/>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restart"/>
                  <w:vAlign w:val="center"/>
                </w:tcPr>
                <w:p>
                  <w:pPr>
                    <w:adjustRightInd w:val="0"/>
                    <w:snapToGrid w:val="0"/>
                    <w:jc w:val="center"/>
                    <w:rPr>
                      <w:rFonts w:hAnsi="宋体" w:cs="宋体"/>
                      <w:color w:val="auto"/>
                      <w:sz w:val="21"/>
                      <w:szCs w:val="21"/>
                    </w:rPr>
                  </w:pPr>
                  <w:r>
                    <w:rPr>
                      <w:rFonts w:hint="eastAsia" w:hAnsi="宋体" w:cs="宋体"/>
                      <w:color w:val="auto"/>
                      <w:sz w:val="21"/>
                      <w:szCs w:val="21"/>
                    </w:rPr>
                    <w:t>废气</w:t>
                  </w:r>
                </w:p>
              </w:tc>
              <w:tc>
                <w:tcPr>
                  <w:tcW w:w="1818" w:type="dxa"/>
                  <w:vMerge w:val="restart"/>
                  <w:vAlign w:val="center"/>
                </w:tcPr>
                <w:p>
                  <w:pPr>
                    <w:adjustRightInd w:val="0"/>
                    <w:snapToGrid w:val="0"/>
                    <w:jc w:val="center"/>
                    <w:rPr>
                      <w:rFonts w:hAnsi="宋体" w:cs="宋体"/>
                      <w:color w:val="auto"/>
                      <w:sz w:val="21"/>
                      <w:szCs w:val="21"/>
                    </w:rPr>
                  </w:pPr>
                  <w:r>
                    <w:rPr>
                      <w:rFonts w:hint="eastAsia" w:hAnsi="宋体" w:cs="宋体"/>
                      <w:color w:val="auto"/>
                      <w:sz w:val="21"/>
                      <w:szCs w:val="21"/>
                    </w:rPr>
                    <w:t>生产区</w:t>
                  </w:r>
                </w:p>
              </w:tc>
              <w:tc>
                <w:tcPr>
                  <w:tcW w:w="303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沥青混凝土堆场粉尘</w:t>
                  </w:r>
                </w:p>
              </w:tc>
              <w:tc>
                <w:tcPr>
                  <w:tcW w:w="209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上料输送</w:t>
                  </w:r>
                </w:p>
              </w:tc>
              <w:tc>
                <w:tcPr>
                  <w:tcW w:w="209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骨料烘干</w:t>
                  </w: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燃烧器燃烧（加热骨料）</w:t>
                  </w: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颗粒物、二氧化硫、氮氧化物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沥青搅拌</w:t>
                  </w: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沥青烟、苯并[a]芘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导热油炉（加热沥青）</w:t>
                  </w: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颗粒物、二氧化硫、氮氧化物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矿</w:t>
                  </w:r>
                  <w:r>
                    <w:rPr>
                      <w:rFonts w:hint="eastAsia" w:hAnsi="宋体" w:cs="宋体"/>
                      <w:color w:val="auto"/>
                      <w:sz w:val="21"/>
                      <w:szCs w:val="21"/>
                    </w:rPr>
                    <w:t>粉筒仓</w:t>
                  </w: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shd w:val="clear" w:color="auto" w:fill="auto"/>
                  <w:vAlign w:val="center"/>
                </w:tcPr>
                <w:p>
                  <w:pPr>
                    <w:adjustRightInd w:val="0"/>
                    <w:snapToGrid w:val="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料仓</w:t>
                  </w: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废水</w:t>
                  </w:r>
                </w:p>
              </w:tc>
              <w:tc>
                <w:tcPr>
                  <w:tcW w:w="1818"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生活污水</w:t>
                  </w:r>
                </w:p>
              </w:tc>
              <w:tc>
                <w:tcPr>
                  <w:tcW w:w="303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职工生活</w:t>
                  </w:r>
                </w:p>
              </w:tc>
              <w:tc>
                <w:tcPr>
                  <w:tcW w:w="209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COD、SS、BOD</w:t>
                  </w:r>
                  <w:r>
                    <w:rPr>
                      <w:rFonts w:hint="eastAsia" w:hAnsi="宋体" w:cs="宋体"/>
                      <w:color w:val="auto"/>
                      <w:sz w:val="21"/>
                      <w:szCs w:val="21"/>
                      <w:vertAlign w:val="subscript"/>
                    </w:rPr>
                    <w:t>5</w:t>
                  </w:r>
                  <w:r>
                    <w:rPr>
                      <w:rFonts w:hint="eastAsia" w:hAnsi="宋体" w:cs="宋体"/>
                      <w:color w:val="auto"/>
                      <w:sz w:val="21"/>
                      <w:szCs w:val="21"/>
                    </w:rPr>
                    <w:t>、NH</w:t>
                  </w:r>
                  <w:r>
                    <w:rPr>
                      <w:rFonts w:hint="eastAsia" w:hAnsi="宋体" w:cs="宋体"/>
                      <w:color w:val="auto"/>
                      <w:sz w:val="21"/>
                      <w:szCs w:val="21"/>
                      <w:vertAlign w:val="subscript"/>
                    </w:rPr>
                    <w:t>3</w:t>
                  </w:r>
                  <w:r>
                    <w:rPr>
                      <w:rFonts w:hint="eastAsia" w:hAnsi="宋体" w:cs="宋体"/>
                      <w:color w:val="auto"/>
                      <w:sz w:val="21"/>
                      <w:szCs w:val="21"/>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噪声</w:t>
                  </w:r>
                </w:p>
              </w:tc>
              <w:tc>
                <w:tcPr>
                  <w:tcW w:w="1818" w:type="dxa"/>
                  <w:vAlign w:val="center"/>
                </w:tcPr>
                <w:p>
                  <w:pPr>
                    <w:autoSpaceDE w:val="0"/>
                    <w:autoSpaceDN w:val="0"/>
                    <w:adjustRightInd w:val="0"/>
                    <w:snapToGrid w:val="0"/>
                    <w:jc w:val="center"/>
                    <w:rPr>
                      <w:rFonts w:hAnsi="宋体" w:cs="宋体"/>
                      <w:color w:val="auto"/>
                      <w:sz w:val="21"/>
                      <w:szCs w:val="21"/>
                    </w:rPr>
                  </w:pPr>
                  <w:r>
                    <w:rPr>
                      <w:rFonts w:hint="eastAsia" w:hAnsi="宋体" w:cs="宋体"/>
                      <w:color w:val="auto"/>
                      <w:sz w:val="21"/>
                      <w:szCs w:val="21"/>
                    </w:rPr>
                    <w:t>搅拌机等机械设备</w:t>
                  </w:r>
                </w:p>
              </w:tc>
              <w:tc>
                <w:tcPr>
                  <w:tcW w:w="3030" w:type="dxa"/>
                  <w:vAlign w:val="center"/>
                </w:tcPr>
                <w:p>
                  <w:pPr>
                    <w:autoSpaceDE w:val="0"/>
                    <w:autoSpaceDN w:val="0"/>
                    <w:adjustRightInd w:val="0"/>
                    <w:snapToGrid w:val="0"/>
                    <w:jc w:val="center"/>
                    <w:rPr>
                      <w:rFonts w:hAnsi="宋体" w:cs="宋体"/>
                      <w:color w:val="auto"/>
                      <w:sz w:val="21"/>
                      <w:szCs w:val="21"/>
                    </w:rPr>
                  </w:pPr>
                  <w:r>
                    <w:rPr>
                      <w:rFonts w:hint="eastAsia" w:hAnsi="宋体" w:cs="宋体"/>
                      <w:color w:val="auto"/>
                      <w:sz w:val="21"/>
                      <w:szCs w:val="21"/>
                    </w:rPr>
                    <w:t>机械设备运行</w:t>
                  </w:r>
                </w:p>
              </w:tc>
              <w:tc>
                <w:tcPr>
                  <w:tcW w:w="209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restart"/>
                  <w:vAlign w:val="center"/>
                </w:tcPr>
                <w:p>
                  <w:pPr>
                    <w:adjustRightInd w:val="0"/>
                    <w:snapToGrid w:val="0"/>
                    <w:jc w:val="center"/>
                    <w:rPr>
                      <w:rFonts w:hAnsi="宋体" w:cs="宋体"/>
                      <w:color w:val="auto"/>
                      <w:sz w:val="21"/>
                      <w:szCs w:val="21"/>
                    </w:rPr>
                  </w:pPr>
                  <w:r>
                    <w:rPr>
                      <w:rFonts w:hint="eastAsia" w:hAnsi="宋体" w:cs="宋体"/>
                      <w:color w:val="auto"/>
                      <w:sz w:val="21"/>
                      <w:szCs w:val="21"/>
                    </w:rPr>
                    <w:t>固体废物</w:t>
                  </w:r>
                </w:p>
              </w:tc>
              <w:tc>
                <w:tcPr>
                  <w:tcW w:w="1818" w:type="dxa"/>
                  <w:vMerge w:val="restart"/>
                  <w:vAlign w:val="center"/>
                </w:tcPr>
                <w:p>
                  <w:pPr>
                    <w:adjustRightInd w:val="0"/>
                    <w:snapToGrid w:val="0"/>
                    <w:jc w:val="center"/>
                    <w:rPr>
                      <w:rFonts w:hAnsi="宋体" w:cs="宋体"/>
                      <w:color w:val="auto"/>
                      <w:sz w:val="21"/>
                      <w:szCs w:val="21"/>
                    </w:rPr>
                  </w:pPr>
                  <w:r>
                    <w:rPr>
                      <w:rFonts w:hint="eastAsia" w:hAnsi="宋体" w:cs="宋体"/>
                      <w:color w:val="auto"/>
                      <w:sz w:val="21"/>
                      <w:szCs w:val="21"/>
                    </w:rPr>
                    <w:t>生产废物</w:t>
                  </w:r>
                </w:p>
              </w:tc>
              <w:tc>
                <w:tcPr>
                  <w:tcW w:w="3030" w:type="dxa"/>
                  <w:vAlign w:val="center"/>
                </w:tcPr>
                <w:p>
                  <w:pPr>
                    <w:pStyle w:val="91"/>
                    <w:adjustRightInd w:val="0"/>
                    <w:snapToGrid w:val="0"/>
                    <w:spacing w:before="0" w:beforeLines="0" w:after="0" w:afterLines="0" w:line="240" w:lineRule="auto"/>
                    <w:rPr>
                      <w:rFonts w:hint="default" w:ascii="宋体" w:hAnsi="宋体" w:cs="宋体"/>
                      <w:color w:val="auto"/>
                      <w:kern w:val="0"/>
                      <w:sz w:val="21"/>
                      <w:szCs w:val="21"/>
                    </w:rPr>
                  </w:pPr>
                  <w:r>
                    <w:rPr>
                      <w:rFonts w:ascii="宋体" w:hAnsi="宋体" w:cs="宋体"/>
                      <w:color w:val="auto"/>
                      <w:kern w:val="0"/>
                      <w:sz w:val="21"/>
                      <w:szCs w:val="21"/>
                    </w:rPr>
                    <w:t>筛选不合格石料</w:t>
                  </w:r>
                </w:p>
              </w:tc>
              <w:tc>
                <w:tcPr>
                  <w:tcW w:w="2090" w:type="dxa"/>
                  <w:vAlign w:val="center"/>
                </w:tcPr>
                <w:p>
                  <w:pPr>
                    <w:pStyle w:val="91"/>
                    <w:adjustRightInd w:val="0"/>
                    <w:snapToGrid w:val="0"/>
                    <w:spacing w:before="0" w:beforeLines="0" w:after="0" w:afterLines="0" w:line="240" w:lineRule="auto"/>
                    <w:rPr>
                      <w:rFonts w:hint="default" w:ascii="宋体" w:hAnsi="宋体" w:cs="宋体"/>
                      <w:color w:val="auto"/>
                      <w:sz w:val="21"/>
                      <w:szCs w:val="21"/>
                    </w:rPr>
                  </w:pPr>
                  <w:r>
                    <w:rPr>
                      <w:rFonts w:ascii="宋体" w:hAnsi="宋体" w:cs="宋体"/>
                      <w:color w:val="auto"/>
                      <w:sz w:val="21"/>
                      <w:szCs w:val="21"/>
                    </w:rPr>
                    <w:t>废石料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除尘器</w:t>
                  </w:r>
                </w:p>
              </w:tc>
              <w:tc>
                <w:tcPr>
                  <w:tcW w:w="209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除尘器收尘、废布袋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vMerge w:val="restart"/>
                  <w:shd w:val="clear" w:color="auto" w:fill="auto"/>
                  <w:vAlign w:val="center"/>
                </w:tcPr>
                <w:p>
                  <w:pPr>
                    <w:pStyle w:val="91"/>
                    <w:adjustRightInd w:val="0"/>
                    <w:snapToGrid w:val="0"/>
                    <w:spacing w:before="0" w:beforeLines="0" w:after="0" w:afterLines="0" w:line="240" w:lineRule="auto"/>
                    <w:rPr>
                      <w:rFonts w:hint="default" w:ascii="宋体" w:hAnsi="宋体" w:cs="宋体"/>
                      <w:color w:val="auto"/>
                      <w:kern w:val="0"/>
                      <w:sz w:val="21"/>
                      <w:szCs w:val="21"/>
                    </w:rPr>
                  </w:pPr>
                  <w:r>
                    <w:rPr>
                      <w:rFonts w:ascii="宋体" w:hAnsi="宋体" w:cs="宋体"/>
                      <w:color w:val="auto"/>
                      <w:kern w:val="0"/>
                      <w:sz w:val="21"/>
                      <w:szCs w:val="21"/>
                    </w:rPr>
                    <w:t>沥青站</w:t>
                  </w:r>
                </w:p>
              </w:tc>
              <w:tc>
                <w:tcPr>
                  <w:tcW w:w="2090" w:type="dxa"/>
                  <w:shd w:val="clear" w:color="auto" w:fill="auto"/>
                  <w:vAlign w:val="center"/>
                </w:tcPr>
                <w:p>
                  <w:pPr>
                    <w:pStyle w:val="91"/>
                    <w:adjustRightInd w:val="0"/>
                    <w:snapToGrid w:val="0"/>
                    <w:spacing w:before="0" w:beforeLines="0" w:after="0" w:afterLines="0" w:line="240" w:lineRule="auto"/>
                    <w:rPr>
                      <w:rFonts w:hint="default" w:ascii="宋体" w:hAnsi="宋体" w:cs="宋体"/>
                      <w:color w:val="auto"/>
                      <w:sz w:val="21"/>
                      <w:szCs w:val="21"/>
                    </w:rPr>
                  </w:pPr>
                  <w:r>
                    <w:rPr>
                      <w:rFonts w:ascii="宋体" w:hAnsi="宋体" w:cs="宋体"/>
                      <w:color w:val="auto"/>
                      <w:sz w:val="21"/>
                      <w:szCs w:val="21"/>
                    </w:rPr>
                    <w:t>废活性炭（沥青站）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vMerge w:val="continue"/>
                  <w:shd w:val="clear" w:color="auto" w:fill="auto"/>
                  <w:vAlign w:val="center"/>
                </w:tcPr>
                <w:p>
                  <w:pPr>
                    <w:pStyle w:val="91"/>
                    <w:adjustRightInd w:val="0"/>
                    <w:snapToGrid w:val="0"/>
                    <w:spacing w:before="0" w:beforeLines="0" w:after="0" w:afterLines="0" w:line="240" w:lineRule="auto"/>
                    <w:rPr>
                      <w:rFonts w:hint="default" w:ascii="宋体" w:hAnsi="宋体" w:cs="宋体"/>
                      <w:color w:val="auto"/>
                      <w:kern w:val="0"/>
                      <w:sz w:val="21"/>
                      <w:szCs w:val="21"/>
                    </w:rPr>
                  </w:pPr>
                </w:p>
              </w:tc>
              <w:tc>
                <w:tcPr>
                  <w:tcW w:w="2090" w:type="dxa"/>
                  <w:shd w:val="clear" w:color="auto" w:fill="auto"/>
                  <w:vAlign w:val="center"/>
                </w:tcPr>
                <w:p>
                  <w:pPr>
                    <w:pStyle w:val="91"/>
                    <w:adjustRightInd w:val="0"/>
                    <w:snapToGrid w:val="0"/>
                    <w:spacing w:before="0" w:beforeLines="0" w:after="0" w:afterLines="0" w:line="240" w:lineRule="auto"/>
                    <w:rPr>
                      <w:rFonts w:hint="default" w:ascii="宋体" w:hAnsi="宋体" w:cs="宋体"/>
                      <w:color w:val="auto"/>
                      <w:sz w:val="21"/>
                      <w:szCs w:val="21"/>
                    </w:rPr>
                  </w:pPr>
                  <w:r>
                    <w:rPr>
                      <w:rFonts w:ascii="宋体" w:hAnsi="宋体" w:cs="宋体"/>
                      <w:color w:val="auto"/>
                      <w:sz w:val="21"/>
                      <w:szCs w:val="21"/>
                    </w:rPr>
                    <w:t>废布袋（沥青）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vMerge w:val="continue"/>
                  <w:shd w:val="clear" w:color="auto" w:fill="auto"/>
                  <w:vAlign w:val="center"/>
                </w:tcPr>
                <w:p>
                  <w:pPr>
                    <w:adjustRightInd w:val="0"/>
                    <w:snapToGrid w:val="0"/>
                    <w:jc w:val="center"/>
                    <w:rPr>
                      <w:rFonts w:hAnsi="宋体" w:cs="宋体"/>
                      <w:color w:val="auto"/>
                      <w:sz w:val="21"/>
                      <w:szCs w:val="21"/>
                    </w:rPr>
                  </w:pP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滴漏沥青及搅拌残渣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导热油炉</w:t>
                  </w:r>
                </w:p>
              </w:tc>
              <w:tc>
                <w:tcPr>
                  <w:tcW w:w="2090" w:type="dxa"/>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废导热油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Merge w:val="continue"/>
                  <w:vAlign w:val="center"/>
                </w:tcPr>
                <w:p>
                  <w:pPr>
                    <w:adjustRightInd w:val="0"/>
                    <w:snapToGrid w:val="0"/>
                    <w:jc w:val="center"/>
                    <w:rPr>
                      <w:rFonts w:hAnsi="宋体" w:cs="宋体"/>
                      <w:color w:val="auto"/>
                      <w:sz w:val="21"/>
                      <w:szCs w:val="21"/>
                    </w:rPr>
                  </w:pPr>
                </w:p>
              </w:tc>
              <w:tc>
                <w:tcPr>
                  <w:tcW w:w="303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料粉筒仓</w:t>
                  </w:r>
                </w:p>
              </w:tc>
              <w:tc>
                <w:tcPr>
                  <w:tcW w:w="209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废布袋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Merge w:val="continue"/>
                  <w:vAlign w:val="center"/>
                </w:tcPr>
                <w:p>
                  <w:pPr>
                    <w:adjustRightInd w:val="0"/>
                    <w:snapToGrid w:val="0"/>
                    <w:jc w:val="center"/>
                    <w:rPr>
                      <w:rFonts w:hAnsi="宋体" w:cs="宋体"/>
                      <w:color w:val="auto"/>
                      <w:sz w:val="21"/>
                      <w:szCs w:val="21"/>
                    </w:rPr>
                  </w:pPr>
                </w:p>
              </w:tc>
              <w:tc>
                <w:tcPr>
                  <w:tcW w:w="1818"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职工生活</w:t>
                  </w:r>
                </w:p>
              </w:tc>
              <w:tc>
                <w:tcPr>
                  <w:tcW w:w="303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职工生活</w:t>
                  </w:r>
                </w:p>
              </w:tc>
              <w:tc>
                <w:tcPr>
                  <w:tcW w:w="2090" w:type="dxa"/>
                  <w:vAlign w:val="center"/>
                </w:tcPr>
                <w:p>
                  <w:pPr>
                    <w:adjustRightInd w:val="0"/>
                    <w:snapToGrid w:val="0"/>
                    <w:jc w:val="center"/>
                    <w:rPr>
                      <w:rFonts w:hAnsi="宋体" w:cs="宋体"/>
                      <w:color w:val="auto"/>
                      <w:sz w:val="21"/>
                      <w:szCs w:val="21"/>
                    </w:rPr>
                  </w:pPr>
                  <w:r>
                    <w:rPr>
                      <w:rFonts w:hint="eastAsia" w:hAnsi="宋体" w:cs="宋体"/>
                      <w:color w:val="auto"/>
                      <w:sz w:val="21"/>
                      <w:szCs w:val="21"/>
                    </w:rPr>
                    <w:t>生活垃圾</w:t>
                  </w:r>
                </w:p>
              </w:tc>
            </w:tr>
          </w:tbl>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6" w:type="dxa"/>
            <w:vAlign w:val="center"/>
          </w:tcPr>
          <w:p>
            <w:pPr>
              <w:jc w:val="center"/>
              <w:rPr>
                <w:color w:val="auto"/>
              </w:rPr>
            </w:pPr>
            <w:r>
              <w:rPr>
                <w:color w:val="auto"/>
              </w:rPr>
              <w:t>与项目有关的原有环境污染问题</w:t>
            </w:r>
          </w:p>
        </w:tc>
        <w:tc>
          <w:tcPr>
            <w:tcW w:w="8076" w:type="dxa"/>
            <w:vAlign w:val="center"/>
          </w:tcPr>
          <w:p>
            <w:pPr>
              <w:pStyle w:val="25"/>
              <w:spacing w:line="360" w:lineRule="auto"/>
              <w:ind w:left="0" w:firstLine="480" w:firstLineChars="200"/>
              <w:rPr>
                <w:color w:val="auto"/>
                <w:sz w:val="24"/>
                <w:szCs w:val="24"/>
              </w:rPr>
            </w:pPr>
            <w:r>
              <w:rPr>
                <w:rFonts w:hint="eastAsia"/>
                <w:color w:val="auto"/>
                <w:sz w:val="24"/>
                <w:szCs w:val="24"/>
                <w:lang w:val="en-US" w:eastAsia="zh-CN"/>
              </w:rPr>
              <w:t>本项目为新建项目</w:t>
            </w:r>
            <w:r>
              <w:rPr>
                <w:rFonts w:hint="eastAsia"/>
                <w:color w:val="auto"/>
                <w:sz w:val="24"/>
                <w:szCs w:val="24"/>
                <w:lang w:eastAsia="zh-CN"/>
              </w:rPr>
              <w:t>，</w:t>
            </w:r>
            <w:r>
              <w:rPr>
                <w:rFonts w:hint="eastAsia"/>
                <w:color w:val="auto"/>
                <w:sz w:val="24"/>
                <w:szCs w:val="24"/>
              </w:rPr>
              <w:t>无</w:t>
            </w:r>
            <w:r>
              <w:rPr>
                <w:rFonts w:hint="eastAsia"/>
                <w:color w:val="auto"/>
                <w:sz w:val="24"/>
                <w:szCs w:val="24"/>
                <w:lang w:val="en-US" w:eastAsia="zh-CN"/>
              </w:rPr>
              <w:t>原有</w:t>
            </w:r>
            <w:r>
              <w:rPr>
                <w:rFonts w:hint="eastAsia"/>
                <w:color w:val="auto"/>
                <w:sz w:val="24"/>
                <w:szCs w:val="24"/>
              </w:rPr>
              <w:t>环境问题。</w:t>
            </w:r>
          </w:p>
        </w:tc>
      </w:tr>
    </w:tbl>
    <w:p>
      <w:pPr>
        <w:rPr>
          <w:color w:val="auto"/>
        </w:rPr>
        <w:sectPr>
          <w:pgSz w:w="11906" w:h="16838"/>
          <w:pgMar w:top="1440" w:right="1800" w:bottom="1440" w:left="1800" w:header="851" w:footer="992" w:gutter="0"/>
          <w:cols w:space="425" w:num="1"/>
          <w:docGrid w:linePitch="312" w:charSpace="0"/>
        </w:sectPr>
      </w:pPr>
    </w:p>
    <w:p>
      <w:pPr>
        <w:jc w:val="center"/>
        <w:outlineLvl w:val="0"/>
        <w:rPr>
          <w:rFonts w:eastAsia="黑体"/>
          <w:color w:val="auto"/>
          <w:sz w:val="30"/>
          <w:szCs w:val="30"/>
        </w:rPr>
      </w:pPr>
      <w:bookmarkStart w:id="13" w:name="_Toc16349"/>
      <w:bookmarkStart w:id="14" w:name="_Toc5601"/>
      <w:bookmarkStart w:id="15" w:name="_Toc31204"/>
      <w:bookmarkStart w:id="16" w:name="_Toc342"/>
      <w:bookmarkStart w:id="17" w:name="_Toc6421"/>
      <w:r>
        <w:rPr>
          <w:rFonts w:eastAsia="黑体"/>
          <w:color w:val="auto"/>
          <w:sz w:val="30"/>
          <w:szCs w:val="30"/>
        </w:rPr>
        <w:t>三、区域环境质量现状、环境保护目标及评价标准</w:t>
      </w:r>
      <w:bookmarkEnd w:id="13"/>
      <w:bookmarkEnd w:id="14"/>
      <w:bookmarkEnd w:id="15"/>
      <w:bookmarkEnd w:id="16"/>
      <w:bookmarkEnd w:id="17"/>
    </w:p>
    <w:tbl>
      <w:tblPr>
        <w:tblStyle w:val="31"/>
        <w:tblW w:w="92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6"/>
        <w:gridCol w:w="87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003" w:hRule="atLeast"/>
        </w:trPr>
        <w:tc>
          <w:tcPr>
            <w:tcW w:w="456" w:type="dxa"/>
            <w:tcBorders>
              <w:tl2br w:val="nil"/>
              <w:tr2bl w:val="nil"/>
            </w:tcBorders>
            <w:vAlign w:val="center"/>
          </w:tcPr>
          <w:p>
            <w:pPr>
              <w:jc w:val="center"/>
              <w:rPr>
                <w:color w:val="auto"/>
              </w:rPr>
            </w:pPr>
            <w:r>
              <w:rPr>
                <w:color w:val="auto"/>
              </w:rPr>
              <w:t>区域环境质量现状</w:t>
            </w:r>
          </w:p>
        </w:tc>
        <w:tc>
          <w:tcPr>
            <w:tcW w:w="8781" w:type="dxa"/>
            <w:tcBorders>
              <w:tl2br w:val="nil"/>
              <w:tr2bl w:val="nil"/>
            </w:tcBorders>
          </w:tcPr>
          <w:p>
            <w:pPr>
              <w:pStyle w:val="94"/>
              <w:keepNext w:val="0"/>
              <w:keepLines w:val="0"/>
              <w:suppressLineNumbers w:val="0"/>
              <w:spacing w:before="120" w:beforeLines="50" w:beforeAutospacing="0" w:after="0" w:afterAutospacing="0" w:line="360" w:lineRule="auto"/>
              <w:ind w:left="0" w:right="0" w:firstLine="0" w:firstLineChars="0"/>
              <w:rPr>
                <w:rFonts w:hint="default" w:cs="Times New Roman"/>
                <w:b/>
                <w:bCs w:val="0"/>
                <w:color w:val="auto"/>
              </w:rPr>
            </w:pPr>
            <w:r>
              <w:rPr>
                <w:rFonts w:hint="eastAsia" w:cs="Times New Roman"/>
                <w:b/>
                <w:bCs w:val="0"/>
                <w:color w:val="auto"/>
                <w:lang w:eastAsia="zh-CN"/>
              </w:rPr>
              <w:t>1.</w:t>
            </w:r>
            <w:r>
              <w:rPr>
                <w:rFonts w:hint="default" w:cs="Times New Roman"/>
                <w:b/>
                <w:bCs w:val="0"/>
                <w:color w:val="auto"/>
              </w:rPr>
              <w:t>环境空气质量现状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（1）常规污染物</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1"/>
              </w:rPr>
            </w:pPr>
            <w:r>
              <w:rPr>
                <w:rFonts w:hint="default" w:ascii="Times New Roman" w:hAnsi="Times New Roman" w:cs="Times New Roman"/>
                <w:color w:val="auto"/>
                <w:szCs w:val="21"/>
              </w:rPr>
              <w:t>本项目所在地属伊春市，</w:t>
            </w:r>
            <w:r>
              <w:rPr>
                <w:rFonts w:hint="default" w:ascii="Times New Roman" w:hAnsi="Times New Roman" w:cs="Times New Roman"/>
                <w:bCs/>
                <w:color w:val="auto"/>
                <w:szCs w:val="21"/>
              </w:rPr>
              <w:t>环境空气质量基本污染物现状监测数据来源于《伊春市生态环境质量公报》（2024年），</w:t>
            </w:r>
            <w:r>
              <w:rPr>
                <w:rFonts w:hint="default" w:ascii="Times New Roman" w:hAnsi="Times New Roman" w:cs="Times New Roman"/>
                <w:color w:val="auto"/>
                <w:szCs w:val="21"/>
              </w:rPr>
              <w:t>根据</w:t>
            </w:r>
            <w:r>
              <w:rPr>
                <w:rFonts w:hint="default" w:ascii="Times New Roman" w:hAnsi="Times New Roman" w:cs="Times New Roman"/>
                <w:bCs/>
                <w:color w:val="auto"/>
                <w:szCs w:val="21"/>
              </w:rPr>
              <w:t>《伊春市生态环境质量公报》（2024年）</w:t>
            </w:r>
            <w:r>
              <w:rPr>
                <w:rFonts w:hint="default" w:ascii="Times New Roman" w:hAnsi="Times New Roman" w:cs="Times New Roman"/>
                <w:color w:val="auto"/>
                <w:szCs w:val="21"/>
              </w:rPr>
              <w:t>，2024年，全市环境空气质量达标，二氧化硫、二氧化氮年均值、可吸入颗粒物PM</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、细颗粒物 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、一氧化碳24小时平均第95百分位数和臭氧日最大8小时滑动平均值的第90百分位数共6项污染物年均值浓度均优于国家环境空气质量二级标准。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Cs w:val="21"/>
              </w:rPr>
            </w:pPr>
            <w:r>
              <w:rPr>
                <w:rFonts w:hint="default" w:ascii="Times New Roman" w:hAnsi="Times New Roman" w:cs="Times New Roman"/>
                <w:color w:val="auto"/>
                <w:szCs w:val="21"/>
              </w:rPr>
              <w:t>由《伊春市生态环境质量公报》（2024年）可知，本项目所在区域属于达标区。</w:t>
            </w:r>
          </w:p>
          <w:p>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表3-1  2024年环境空气各项污染物达标情况一览表   单位：μg/m</w:t>
            </w:r>
            <w:r>
              <w:rPr>
                <w:rFonts w:hint="default" w:ascii="Times New Roman" w:hAnsi="Times New Roman" w:cs="Times New Roman"/>
                <w:b/>
                <w:bCs/>
                <w:color w:val="auto"/>
                <w:szCs w:val="21"/>
                <w:vertAlign w:val="superscript"/>
              </w:rPr>
              <w:t>3</w:t>
            </w:r>
          </w:p>
          <w:tbl>
            <w:tblPr>
              <w:tblStyle w:val="30"/>
              <w:tblW w:w="85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9"/>
              <w:gridCol w:w="3354"/>
              <w:gridCol w:w="1060"/>
              <w:gridCol w:w="1232"/>
              <w:gridCol w:w="101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9"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污染物</w:t>
                  </w:r>
                </w:p>
              </w:tc>
              <w:tc>
                <w:tcPr>
                  <w:tcW w:w="3354"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年评价指标</w:t>
                  </w:r>
                </w:p>
              </w:tc>
              <w:tc>
                <w:tcPr>
                  <w:tcW w:w="1060"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现状浓度/（μg/m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23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标准值/（μg/m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1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占标率/%</w:t>
                  </w:r>
                </w:p>
              </w:tc>
              <w:tc>
                <w:tcPr>
                  <w:tcW w:w="1115"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9"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2.5</w:t>
                  </w:r>
                </w:p>
              </w:tc>
              <w:tc>
                <w:tcPr>
                  <w:tcW w:w="3354"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w:t>
                  </w:r>
                </w:p>
              </w:tc>
              <w:tc>
                <w:tcPr>
                  <w:tcW w:w="123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35</w:t>
                  </w:r>
                </w:p>
              </w:tc>
              <w:tc>
                <w:tcPr>
                  <w:tcW w:w="101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68.57</w:t>
                  </w:r>
                </w:p>
              </w:tc>
              <w:tc>
                <w:tcPr>
                  <w:tcW w:w="1115"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9"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10</w:t>
                  </w:r>
                </w:p>
              </w:tc>
              <w:tc>
                <w:tcPr>
                  <w:tcW w:w="3354"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34</w:t>
                  </w:r>
                </w:p>
              </w:tc>
              <w:tc>
                <w:tcPr>
                  <w:tcW w:w="123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70</w:t>
                  </w:r>
                </w:p>
              </w:tc>
              <w:tc>
                <w:tcPr>
                  <w:tcW w:w="101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48.57</w:t>
                  </w:r>
                </w:p>
              </w:tc>
              <w:tc>
                <w:tcPr>
                  <w:tcW w:w="1115"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9"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p>
              </w:tc>
              <w:tc>
                <w:tcPr>
                  <w:tcW w:w="3354"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7</w:t>
                  </w:r>
                </w:p>
              </w:tc>
              <w:tc>
                <w:tcPr>
                  <w:tcW w:w="123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60</w:t>
                  </w:r>
                </w:p>
              </w:tc>
              <w:tc>
                <w:tcPr>
                  <w:tcW w:w="101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11.67</w:t>
                  </w:r>
                </w:p>
              </w:tc>
              <w:tc>
                <w:tcPr>
                  <w:tcW w:w="1115"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9"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2</w:t>
                  </w:r>
                </w:p>
              </w:tc>
              <w:tc>
                <w:tcPr>
                  <w:tcW w:w="3354"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13</w:t>
                  </w:r>
                </w:p>
              </w:tc>
              <w:tc>
                <w:tcPr>
                  <w:tcW w:w="123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32.50</w:t>
                  </w:r>
                </w:p>
              </w:tc>
              <w:tc>
                <w:tcPr>
                  <w:tcW w:w="1115"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9"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CO</w:t>
                  </w:r>
                </w:p>
              </w:tc>
              <w:tc>
                <w:tcPr>
                  <w:tcW w:w="3354"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第95百分位数日平均浓度（mg/m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60"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0.8</w:t>
                  </w:r>
                </w:p>
              </w:tc>
              <w:tc>
                <w:tcPr>
                  <w:tcW w:w="123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20.00</w:t>
                  </w:r>
                </w:p>
              </w:tc>
              <w:tc>
                <w:tcPr>
                  <w:tcW w:w="1115"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9"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O</w:t>
                  </w:r>
                  <w:r>
                    <w:rPr>
                      <w:rFonts w:hint="default" w:ascii="Times New Roman" w:hAnsi="Times New Roman" w:cs="Times New Roman"/>
                      <w:color w:val="auto"/>
                      <w:sz w:val="21"/>
                      <w:szCs w:val="21"/>
                      <w:vertAlign w:val="subscript"/>
                      <w:lang w:bidi="ar"/>
                    </w:rPr>
                    <w:t>3</w:t>
                  </w:r>
                </w:p>
              </w:tc>
              <w:tc>
                <w:tcPr>
                  <w:tcW w:w="3354"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第90百分位数8h平均质量浓度</w:t>
                  </w:r>
                </w:p>
              </w:tc>
              <w:tc>
                <w:tcPr>
                  <w:tcW w:w="1060"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104</w:t>
                  </w:r>
                </w:p>
              </w:tc>
              <w:tc>
                <w:tcPr>
                  <w:tcW w:w="123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160</w:t>
                  </w:r>
                </w:p>
              </w:tc>
              <w:tc>
                <w:tcPr>
                  <w:tcW w:w="1012"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65.00</w:t>
                  </w:r>
                </w:p>
              </w:tc>
              <w:tc>
                <w:tcPr>
                  <w:tcW w:w="1115" w:type="dxa"/>
                  <w:noWrap w:val="0"/>
                  <w:vAlign w:val="center"/>
                </w:tcPr>
                <w:p>
                  <w:pPr>
                    <w:pStyle w:val="27"/>
                    <w:keepNext w:val="0"/>
                    <w:keepLines w:val="0"/>
                    <w:widowControl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注：日均值第X百分位数按照《环境空气质量评价技术规范（试行）》（HJ 663-2013），二氧化氮、二氧化硫X为98，PM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、一氧化碳X为95，臭氧日最大8小时平均X为90。</w:t>
            </w:r>
          </w:p>
          <w:p>
            <w:pPr>
              <w:keepNext w:val="0"/>
              <w:keepLines w:val="0"/>
              <w:numPr>
                <w:ilvl w:val="0"/>
                <w:numId w:val="7"/>
              </w:numPr>
              <w:suppressLineNumbers w:val="0"/>
              <w:adjustRightInd w:val="0"/>
              <w:snapToGrid w:val="0"/>
              <w:spacing w:before="0" w:beforeAutospacing="0" w:after="0" w:afterAutospacing="0" w:line="360" w:lineRule="auto"/>
              <w:ind w:right="0" w:firstLine="42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特征污染物监测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①监测因子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本项目补充监测因子为TSP、苯并[a]芘，委托黑龙江汇川检测有限公司于202</w:t>
            </w:r>
            <w:r>
              <w:rPr>
                <w:rFonts w:hint="eastAsia" w:cs="Times New Roman"/>
                <w:snapToGrid w:val="0"/>
                <w:color w:val="auto"/>
                <w:kern w:val="0"/>
                <w:szCs w:val="21"/>
                <w:lang w:val="en-US" w:eastAsia="zh-CN"/>
              </w:rPr>
              <w:t>6</w:t>
            </w:r>
            <w:r>
              <w:rPr>
                <w:rFonts w:hint="default" w:ascii="Times New Roman" w:hAnsi="Times New Roman" w:cs="Times New Roman"/>
                <w:snapToGrid w:val="0"/>
                <w:color w:val="auto"/>
                <w:kern w:val="0"/>
                <w:szCs w:val="21"/>
              </w:rPr>
              <w:t>年</w:t>
            </w:r>
            <w:r>
              <w:rPr>
                <w:rFonts w:hint="eastAsia" w:cs="Times New Roman"/>
                <w:snapToGrid w:val="0"/>
                <w:color w:val="auto"/>
                <w:kern w:val="0"/>
                <w:szCs w:val="21"/>
                <w:lang w:val="en-US" w:eastAsia="zh-CN"/>
              </w:rPr>
              <w:t>1</w:t>
            </w:r>
            <w:r>
              <w:rPr>
                <w:rFonts w:hint="default" w:ascii="Times New Roman" w:hAnsi="Times New Roman" w:cs="Times New Roman"/>
                <w:snapToGrid w:val="0"/>
                <w:color w:val="auto"/>
                <w:kern w:val="0"/>
                <w:szCs w:val="21"/>
              </w:rPr>
              <w:t>月2</w:t>
            </w:r>
            <w:r>
              <w:rPr>
                <w:rFonts w:hint="eastAsia" w:cs="Times New Roman"/>
                <w:snapToGrid w:val="0"/>
                <w:color w:val="auto"/>
                <w:kern w:val="0"/>
                <w:szCs w:val="21"/>
                <w:lang w:val="en-US" w:eastAsia="zh-CN"/>
              </w:rPr>
              <w:t>1</w:t>
            </w:r>
            <w:r>
              <w:rPr>
                <w:rFonts w:hint="default" w:ascii="Times New Roman" w:hAnsi="Times New Roman" w:cs="Times New Roman"/>
                <w:snapToGrid w:val="0"/>
                <w:color w:val="auto"/>
                <w:kern w:val="0"/>
                <w:szCs w:val="21"/>
              </w:rPr>
              <w:t>日</w:t>
            </w:r>
            <w:r>
              <w:rPr>
                <w:rFonts w:hint="eastAsia" w:ascii="Times New Roman" w:hAnsi="Times New Roman" w:cs="Times New Roman"/>
                <w:snapToGrid w:val="0"/>
                <w:color w:val="auto"/>
                <w:kern w:val="0"/>
                <w:szCs w:val="21"/>
              </w:rPr>
              <w:t>—</w:t>
            </w:r>
            <w:r>
              <w:rPr>
                <w:rFonts w:hint="default" w:ascii="Times New Roman" w:hAnsi="Times New Roman" w:cs="Times New Roman"/>
                <w:snapToGrid w:val="0"/>
                <w:color w:val="auto"/>
                <w:kern w:val="0"/>
                <w:szCs w:val="21"/>
              </w:rPr>
              <w:t>202</w:t>
            </w:r>
            <w:r>
              <w:rPr>
                <w:rFonts w:hint="eastAsia" w:cs="Times New Roman"/>
                <w:snapToGrid w:val="0"/>
                <w:color w:val="auto"/>
                <w:kern w:val="0"/>
                <w:szCs w:val="21"/>
                <w:lang w:val="en-US" w:eastAsia="zh-CN"/>
              </w:rPr>
              <w:t>6</w:t>
            </w:r>
            <w:r>
              <w:rPr>
                <w:rFonts w:hint="default" w:ascii="Times New Roman" w:hAnsi="Times New Roman" w:cs="Times New Roman"/>
                <w:snapToGrid w:val="0"/>
                <w:color w:val="auto"/>
                <w:kern w:val="0"/>
                <w:szCs w:val="21"/>
              </w:rPr>
              <w:t>年</w:t>
            </w:r>
            <w:r>
              <w:rPr>
                <w:rFonts w:hint="eastAsia" w:cs="Times New Roman"/>
                <w:snapToGrid w:val="0"/>
                <w:color w:val="auto"/>
                <w:kern w:val="0"/>
                <w:szCs w:val="21"/>
                <w:lang w:val="en-US" w:eastAsia="zh-CN"/>
              </w:rPr>
              <w:t>1</w:t>
            </w:r>
            <w:r>
              <w:rPr>
                <w:rFonts w:hint="default" w:ascii="Times New Roman" w:hAnsi="Times New Roman" w:cs="Times New Roman"/>
                <w:snapToGrid w:val="0"/>
                <w:color w:val="auto"/>
                <w:kern w:val="0"/>
                <w:szCs w:val="21"/>
              </w:rPr>
              <w:t>月</w:t>
            </w:r>
            <w:r>
              <w:rPr>
                <w:rFonts w:hint="eastAsia" w:cs="Times New Roman"/>
                <w:snapToGrid w:val="0"/>
                <w:color w:val="auto"/>
                <w:kern w:val="0"/>
                <w:szCs w:val="21"/>
                <w:lang w:val="en-US" w:eastAsia="zh-CN"/>
              </w:rPr>
              <w:t>23</w:t>
            </w:r>
            <w:r>
              <w:rPr>
                <w:rFonts w:hint="default" w:ascii="Times New Roman" w:hAnsi="Times New Roman" w:cs="Times New Roman"/>
                <w:snapToGrid w:val="0"/>
                <w:color w:val="auto"/>
                <w:kern w:val="0"/>
                <w:szCs w:val="21"/>
              </w:rPr>
              <w:t>日进行监测，监测点位位于</w:t>
            </w:r>
            <w:r>
              <w:rPr>
                <w:rFonts w:hint="eastAsia" w:cs="Times New Roman"/>
                <w:snapToGrid w:val="0"/>
                <w:color w:val="auto"/>
                <w:kern w:val="0"/>
                <w:szCs w:val="21"/>
                <w:lang w:val="en-US" w:eastAsia="zh-CN"/>
              </w:rPr>
              <w:t>厂界</w:t>
            </w:r>
            <w:r>
              <w:rPr>
                <w:rFonts w:hint="default" w:ascii="Times New Roman" w:hAnsi="Times New Roman" w:cs="Times New Roman"/>
                <w:snapToGrid w:val="0"/>
                <w:color w:val="auto"/>
                <w:kern w:val="0"/>
                <w:szCs w:val="21"/>
              </w:rPr>
              <w:t>下风向处。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②监测点位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本次评价TSP和苯并[a]芘因子点位设置</w:t>
            </w:r>
            <w:r>
              <w:rPr>
                <w:rFonts w:hint="eastAsia" w:cs="Times New Roman"/>
                <w:snapToGrid w:val="0"/>
                <w:color w:val="auto"/>
                <w:kern w:val="0"/>
                <w:szCs w:val="21"/>
                <w:lang w:val="en-US" w:eastAsia="zh-CN"/>
              </w:rPr>
              <w:t>在</w:t>
            </w:r>
            <w:r>
              <w:rPr>
                <w:rFonts w:hint="default" w:ascii="Times New Roman" w:hAnsi="Times New Roman" w:cs="Times New Roman"/>
                <w:snapToGrid w:val="0"/>
                <w:color w:val="auto"/>
                <w:kern w:val="0"/>
                <w:szCs w:val="21"/>
              </w:rPr>
              <w:t>当地主导风向下风向</w:t>
            </w:r>
            <w:r>
              <w:rPr>
                <w:rFonts w:hint="eastAsia" w:cs="Times New Roman"/>
                <w:snapToGrid w:val="0"/>
                <w:color w:val="auto"/>
                <w:kern w:val="0"/>
                <w:szCs w:val="21"/>
                <w:lang w:val="en-US" w:eastAsia="zh-CN"/>
              </w:rPr>
              <w:t>1</w:t>
            </w:r>
            <w:r>
              <w:rPr>
                <w:rFonts w:hint="default" w:ascii="Times New Roman" w:hAnsi="Times New Roman" w:cs="Times New Roman"/>
                <w:snapToGrid w:val="0"/>
                <w:color w:val="auto"/>
                <w:kern w:val="0"/>
                <w:szCs w:val="21"/>
              </w:rPr>
              <w:t>个点位，具体监测点位见下图</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napToGrid w:val="0"/>
                <w:color w:val="auto"/>
                <w:kern w:val="0"/>
                <w:szCs w:val="21"/>
              </w:rPr>
            </w:pPr>
            <w:r>
              <w:rPr>
                <w:color w:val="auto"/>
              </w:rPr>
              <w:drawing>
                <wp:inline distT="0" distB="0" distL="114300" distR="114300">
                  <wp:extent cx="4477385" cy="3341370"/>
                  <wp:effectExtent l="0" t="0" r="18415" b="1143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8"/>
                          <a:stretch>
                            <a:fillRect/>
                          </a:stretch>
                        </pic:blipFill>
                        <pic:spPr>
                          <a:xfrm>
                            <a:off x="0" y="0"/>
                            <a:ext cx="4477385" cy="334137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图3-1  环境空气监测点位图</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表3-2  环境空气监测点位表</w:t>
            </w:r>
          </w:p>
          <w:tbl>
            <w:tblPr>
              <w:tblStyle w:val="30"/>
              <w:tblW w:w="856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596"/>
              <w:gridCol w:w="1476"/>
              <w:gridCol w:w="1079"/>
              <w:gridCol w:w="2216"/>
              <w:gridCol w:w="712"/>
              <w:gridCol w:w="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653"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监测点名称</w:t>
                  </w:r>
                </w:p>
              </w:tc>
              <w:tc>
                <w:tcPr>
                  <w:tcW w:w="307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监测点坐标（°）</w:t>
                  </w:r>
                </w:p>
              </w:tc>
              <w:tc>
                <w:tcPr>
                  <w:tcW w:w="107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监测因子</w:t>
                  </w:r>
                </w:p>
              </w:tc>
              <w:tc>
                <w:tcPr>
                  <w:tcW w:w="221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监测时段</w:t>
                  </w:r>
                </w:p>
              </w:tc>
              <w:tc>
                <w:tcPr>
                  <w:tcW w:w="712"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相对厂址方位</w:t>
                  </w:r>
                </w:p>
              </w:tc>
              <w:tc>
                <w:tcPr>
                  <w:tcW w:w="833"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相对厂址距离/m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159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东经</w:t>
                  </w:r>
                </w:p>
              </w:tc>
              <w:tc>
                <w:tcPr>
                  <w:tcW w:w="147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北纬</w:t>
                  </w:r>
                </w:p>
              </w:tc>
              <w:tc>
                <w:tcPr>
                  <w:tcW w:w="107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221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71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83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5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4"/>
                      <w:szCs w:val="21"/>
                      <w:lang w:val="en-US" w:eastAsia="zh-CN" w:bidi="ar-SA"/>
                    </w:rPr>
                  </w:pPr>
                  <w:r>
                    <w:rPr>
                      <w:rFonts w:hint="eastAsia" w:cs="Times New Roman"/>
                      <w:snapToGrid w:val="0"/>
                      <w:color w:val="auto"/>
                      <w:kern w:val="0"/>
                      <w:szCs w:val="21"/>
                      <w:lang w:val="en-US" w:eastAsia="zh-CN"/>
                    </w:rPr>
                    <w:t>下风向</w:t>
                  </w:r>
                </w:p>
              </w:tc>
              <w:tc>
                <w:tcPr>
                  <w:tcW w:w="1596"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4"/>
                      <w:szCs w:val="21"/>
                      <w:lang w:val="en-US" w:eastAsia="zh-CN" w:bidi="ar-SA"/>
                    </w:rPr>
                  </w:pPr>
                  <w:r>
                    <w:rPr>
                      <w:rFonts w:hint="eastAsia"/>
                      <w:color w:val="auto"/>
                    </w:rPr>
                    <w:t>130.02957702</w:t>
                  </w:r>
                </w:p>
              </w:tc>
              <w:tc>
                <w:tcPr>
                  <w:tcW w:w="1476"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4"/>
                      <w:szCs w:val="21"/>
                      <w:lang w:val="en-US" w:eastAsia="zh-CN" w:bidi="ar-SA"/>
                    </w:rPr>
                  </w:pPr>
                  <w:r>
                    <w:rPr>
                      <w:rFonts w:hint="eastAsia"/>
                      <w:color w:val="auto"/>
                    </w:rPr>
                    <w:t>48.91528690</w:t>
                  </w:r>
                </w:p>
              </w:tc>
              <w:tc>
                <w:tcPr>
                  <w:tcW w:w="107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cs="Times New Roman"/>
                      <w:snapToGrid w:val="0"/>
                      <w:color w:val="auto"/>
                      <w:kern w:val="0"/>
                      <w:szCs w:val="21"/>
                    </w:rPr>
                    <w:t>TSP、苯并[a]芘</w:t>
                  </w:r>
                </w:p>
              </w:tc>
              <w:tc>
                <w:tcPr>
                  <w:tcW w:w="221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2026.1.21-2026.1.23</w:t>
                  </w:r>
                </w:p>
              </w:tc>
              <w:tc>
                <w:tcPr>
                  <w:tcW w:w="712" w:type="dxa"/>
                  <w:shd w:val="clear" w:color="auto" w:fill="auto"/>
                  <w:noWrap w:val="0"/>
                  <w:vAlign w:val="center"/>
                </w:tcPr>
                <w:p>
                  <w:pPr>
                    <w:keepNext w:val="0"/>
                    <w:keepLines w:val="0"/>
                    <w:suppressLineNumbers w:val="0"/>
                    <w:tabs>
                      <w:tab w:val="center" w:pos="307"/>
                      <w:tab w:val="left" w:pos="474"/>
                    </w:tabs>
                    <w:adjustRightInd w:val="0"/>
                    <w:snapToGrid w:val="0"/>
                    <w:spacing w:before="0" w:beforeAutospacing="0" w:after="0" w:afterAutospacing="0"/>
                    <w:ind w:left="0" w:leftChars="0" w:right="0" w:rightChars="0"/>
                    <w:jc w:val="left"/>
                    <w:rPr>
                      <w:rFonts w:hint="default" w:ascii="Times New Roman" w:hAnsi="Times New Roman" w:eastAsia="宋体" w:cs="Times New Roman"/>
                      <w:snapToGrid w:val="0"/>
                      <w:color w:val="auto"/>
                      <w:kern w:val="0"/>
                      <w:sz w:val="24"/>
                      <w:szCs w:val="21"/>
                      <w:lang w:val="en-US" w:eastAsia="zh-CN" w:bidi="ar-SA"/>
                    </w:rPr>
                  </w:pPr>
                  <w:r>
                    <w:rPr>
                      <w:rFonts w:hint="eastAsia" w:cs="Times New Roman"/>
                      <w:snapToGrid w:val="0"/>
                      <w:color w:val="auto"/>
                      <w:kern w:val="0"/>
                      <w:szCs w:val="21"/>
                      <w:lang w:val="en-US" w:eastAsia="zh-CN"/>
                    </w:rPr>
                    <w:tab/>
                  </w:r>
                  <w:r>
                    <w:rPr>
                      <w:rFonts w:hint="eastAsia" w:cs="Times New Roman"/>
                      <w:snapToGrid w:val="0"/>
                      <w:color w:val="auto"/>
                      <w:kern w:val="0"/>
                      <w:szCs w:val="21"/>
                      <w:lang w:val="en-US" w:eastAsia="zh-CN"/>
                    </w:rPr>
                    <w:t>东</w:t>
                  </w:r>
                </w:p>
              </w:tc>
              <w:tc>
                <w:tcPr>
                  <w:tcW w:w="83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4"/>
                      <w:szCs w:val="21"/>
                      <w:lang w:val="en-US" w:eastAsia="zh-CN" w:bidi="ar-SA"/>
                    </w:rPr>
                  </w:pPr>
                  <w:r>
                    <w:rPr>
                      <w:rFonts w:hint="eastAsia" w:cs="Times New Roman"/>
                      <w:snapToGrid w:val="0"/>
                      <w:color w:val="auto"/>
                      <w:kern w:val="0"/>
                      <w:sz w:val="24"/>
                      <w:szCs w:val="21"/>
                      <w:lang w:val="en-US" w:eastAsia="zh-CN" w:bidi="ar-SA"/>
                    </w:rPr>
                    <w:t>60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③监测时间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监测时间为202</w:t>
            </w:r>
            <w:r>
              <w:rPr>
                <w:rFonts w:hint="eastAsia" w:cs="Times New Roman"/>
                <w:snapToGrid w:val="0"/>
                <w:color w:val="auto"/>
                <w:kern w:val="0"/>
                <w:szCs w:val="21"/>
                <w:lang w:val="en-US" w:eastAsia="zh-CN"/>
              </w:rPr>
              <w:t>6</w:t>
            </w:r>
            <w:r>
              <w:rPr>
                <w:rFonts w:hint="default" w:ascii="Times New Roman" w:hAnsi="Times New Roman" w:cs="Times New Roman"/>
                <w:snapToGrid w:val="0"/>
                <w:color w:val="auto"/>
                <w:kern w:val="0"/>
                <w:szCs w:val="21"/>
              </w:rPr>
              <w:t>年</w:t>
            </w:r>
            <w:r>
              <w:rPr>
                <w:rFonts w:hint="eastAsia" w:cs="Times New Roman"/>
                <w:snapToGrid w:val="0"/>
                <w:color w:val="auto"/>
                <w:kern w:val="0"/>
                <w:szCs w:val="21"/>
                <w:lang w:val="en-US" w:eastAsia="zh-CN"/>
              </w:rPr>
              <w:t>1</w:t>
            </w:r>
            <w:r>
              <w:rPr>
                <w:rFonts w:hint="default" w:ascii="Times New Roman" w:hAnsi="Times New Roman" w:cs="Times New Roman"/>
                <w:snapToGrid w:val="0"/>
                <w:color w:val="auto"/>
                <w:kern w:val="0"/>
                <w:szCs w:val="21"/>
              </w:rPr>
              <w:t>月2</w:t>
            </w:r>
            <w:r>
              <w:rPr>
                <w:rFonts w:hint="eastAsia" w:cs="Times New Roman"/>
                <w:snapToGrid w:val="0"/>
                <w:color w:val="auto"/>
                <w:kern w:val="0"/>
                <w:szCs w:val="21"/>
                <w:lang w:val="en-US" w:eastAsia="zh-CN"/>
              </w:rPr>
              <w:t>1</w:t>
            </w:r>
            <w:r>
              <w:rPr>
                <w:rFonts w:hint="default" w:ascii="Times New Roman" w:hAnsi="Times New Roman" w:cs="Times New Roman"/>
                <w:snapToGrid w:val="0"/>
                <w:color w:val="auto"/>
                <w:kern w:val="0"/>
                <w:szCs w:val="21"/>
              </w:rPr>
              <w:t>日至202</w:t>
            </w:r>
            <w:r>
              <w:rPr>
                <w:rFonts w:hint="eastAsia" w:cs="Times New Roman"/>
                <w:snapToGrid w:val="0"/>
                <w:color w:val="auto"/>
                <w:kern w:val="0"/>
                <w:szCs w:val="21"/>
                <w:lang w:val="en-US" w:eastAsia="zh-CN"/>
              </w:rPr>
              <w:t>6</w:t>
            </w:r>
            <w:r>
              <w:rPr>
                <w:rFonts w:hint="default" w:ascii="Times New Roman" w:hAnsi="Times New Roman" w:cs="Times New Roman"/>
                <w:snapToGrid w:val="0"/>
                <w:color w:val="auto"/>
                <w:kern w:val="0"/>
                <w:szCs w:val="21"/>
              </w:rPr>
              <w:t>年</w:t>
            </w:r>
            <w:r>
              <w:rPr>
                <w:rFonts w:hint="eastAsia" w:cs="Times New Roman"/>
                <w:snapToGrid w:val="0"/>
                <w:color w:val="auto"/>
                <w:kern w:val="0"/>
                <w:szCs w:val="21"/>
                <w:lang w:val="en-US" w:eastAsia="zh-CN"/>
              </w:rPr>
              <w:t>1</w:t>
            </w:r>
            <w:r>
              <w:rPr>
                <w:rFonts w:hint="default" w:ascii="Times New Roman" w:hAnsi="Times New Roman" w:cs="Times New Roman"/>
                <w:snapToGrid w:val="0"/>
                <w:color w:val="auto"/>
                <w:kern w:val="0"/>
                <w:szCs w:val="21"/>
              </w:rPr>
              <w:t>月</w:t>
            </w:r>
            <w:r>
              <w:rPr>
                <w:rFonts w:hint="eastAsia" w:cs="Times New Roman"/>
                <w:snapToGrid w:val="0"/>
                <w:color w:val="auto"/>
                <w:kern w:val="0"/>
                <w:szCs w:val="21"/>
                <w:lang w:val="en-US" w:eastAsia="zh-CN"/>
              </w:rPr>
              <w:t>23</w:t>
            </w:r>
            <w:r>
              <w:rPr>
                <w:rFonts w:hint="default" w:ascii="Times New Roman" w:hAnsi="Times New Roman" w:cs="Times New Roman"/>
                <w:snapToGrid w:val="0"/>
                <w:color w:val="auto"/>
                <w:kern w:val="0"/>
                <w:szCs w:val="21"/>
              </w:rPr>
              <w:t>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④评价结果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表3-3   评价结果</w:t>
            </w:r>
          </w:p>
          <w:tbl>
            <w:tblPr>
              <w:tblStyle w:val="30"/>
              <w:tblW w:w="8555" w:type="dxa"/>
              <w:jc w:val="center"/>
              <w:tblInd w:w="0" w:type="dxa"/>
              <w:tblBorders>
                <w:top w:val="single" w:color="000000" w:sz="4"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6"/>
              <w:gridCol w:w="1596"/>
              <w:gridCol w:w="1476"/>
              <w:gridCol w:w="630"/>
              <w:gridCol w:w="456"/>
              <w:gridCol w:w="1023"/>
              <w:gridCol w:w="1023"/>
              <w:gridCol w:w="956"/>
              <w:gridCol w:w="483"/>
              <w:gridCol w:w="456"/>
            </w:tblGrid>
            <w:tr>
              <w:tblPrEx>
                <w:tblBorders>
                  <w:top w:val="single" w:color="000000" w:sz="4"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1" w:hRule="atLeast"/>
                <w:jc w:val="center"/>
              </w:trPr>
              <w:tc>
                <w:tcPr>
                  <w:tcW w:w="456" w:type="dxa"/>
                  <w:vMerge w:val="restart"/>
                  <w:tcBorders>
                    <w:top w:val="single" w:color="000000" w:sz="12" w:space="0"/>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3072" w:type="dxa"/>
                  <w:gridSpan w:val="2"/>
                  <w:tcBorders>
                    <w:top w:val="single" w:color="000000"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监测点坐标/°</w:t>
                  </w:r>
                </w:p>
              </w:tc>
              <w:tc>
                <w:tcPr>
                  <w:tcW w:w="630" w:type="dxa"/>
                  <w:vMerge w:val="restart"/>
                  <w:tcBorders>
                    <w:top w:val="single" w:color="000000"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456" w:type="dxa"/>
                  <w:vMerge w:val="restart"/>
                  <w:tcBorders>
                    <w:top w:val="single" w:color="000000"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平均时间</w:t>
                  </w:r>
                </w:p>
              </w:tc>
              <w:tc>
                <w:tcPr>
                  <w:tcW w:w="1023" w:type="dxa"/>
                  <w:vMerge w:val="restart"/>
                  <w:tcBorders>
                    <w:top w:val="single" w:color="000000"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评价标准/(μg/m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023" w:type="dxa"/>
                  <w:vMerge w:val="restart"/>
                  <w:tcBorders>
                    <w:top w:val="single" w:color="000000"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监测浓度范围/(μg/m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956" w:type="dxa"/>
                  <w:vMerge w:val="restart"/>
                  <w:tcBorders>
                    <w:top w:val="single" w:color="000000"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最大浓度占标率/%</w:t>
                  </w:r>
                </w:p>
              </w:tc>
              <w:tc>
                <w:tcPr>
                  <w:tcW w:w="483" w:type="dxa"/>
                  <w:vMerge w:val="restart"/>
                  <w:tcBorders>
                    <w:top w:val="single" w:color="000000"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超标率/%</w:t>
                  </w:r>
                </w:p>
              </w:tc>
              <w:tc>
                <w:tcPr>
                  <w:tcW w:w="456" w:type="dxa"/>
                  <w:vMerge w:val="restart"/>
                  <w:tcBorders>
                    <w:top w:val="single" w:color="000000"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tblPrEx>
                <w:tblBorders>
                  <w:top w:val="single" w:color="000000" w:sz="4"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3" w:hRule="atLeast"/>
                <w:jc w:val="center"/>
              </w:trPr>
              <w:tc>
                <w:tcPr>
                  <w:tcW w:w="456" w:type="dxa"/>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96"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X</w:t>
                  </w:r>
                </w:p>
              </w:tc>
              <w:tc>
                <w:tcPr>
                  <w:tcW w:w="1476"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Y</w:t>
                  </w:r>
                </w:p>
              </w:tc>
              <w:tc>
                <w:tcPr>
                  <w:tcW w:w="63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2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2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9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8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56" w:type="dxa"/>
                  <w:vMerge w:val="continue"/>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0" w:hRule="atLeast"/>
                <w:jc w:val="center"/>
              </w:trPr>
              <w:tc>
                <w:tcPr>
                  <w:tcW w:w="456" w:type="dxa"/>
                  <w:vMerge w:val="restart"/>
                  <w:tcBorders>
                    <w:left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eastAsia" w:cs="Times New Roman"/>
                      <w:snapToGrid w:val="0"/>
                      <w:color w:val="auto"/>
                      <w:kern w:val="0"/>
                      <w:szCs w:val="21"/>
                      <w:lang w:val="en-US" w:eastAsia="zh-CN"/>
                    </w:rPr>
                    <w:t>下风向</w:t>
                  </w:r>
                </w:p>
              </w:tc>
              <w:tc>
                <w:tcPr>
                  <w:tcW w:w="1596" w:type="dxa"/>
                  <w:vMerge w:val="restart"/>
                  <w:tcBorders>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cs="Times New Roman"/>
                      <w:color w:val="auto"/>
                      <w:szCs w:val="21"/>
                    </w:rPr>
                    <w:t>129.26952481</w:t>
                  </w:r>
                </w:p>
              </w:tc>
              <w:tc>
                <w:tcPr>
                  <w:tcW w:w="1476" w:type="dxa"/>
                  <w:vMerge w:val="restart"/>
                  <w:tcBorders>
                    <w:lef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cs="Times New Roman"/>
                      <w:color w:val="auto"/>
                      <w:szCs w:val="21"/>
                    </w:rPr>
                    <w:t>47.56574763</w:t>
                  </w:r>
                </w:p>
              </w:tc>
              <w:tc>
                <w:tcPr>
                  <w:tcW w:w="63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snapToGrid w:val="0"/>
                      <w:color w:val="auto"/>
                      <w:kern w:val="0"/>
                      <w:szCs w:val="21"/>
                    </w:rPr>
                    <w:t>苯并[a]芘</w:t>
                  </w:r>
                </w:p>
              </w:tc>
              <w:tc>
                <w:tcPr>
                  <w:tcW w:w="456" w:type="dxa"/>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日均值</w:t>
                  </w:r>
                </w:p>
              </w:tc>
              <w:tc>
                <w:tcPr>
                  <w:tcW w:w="1023"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0.0025</w:t>
                  </w:r>
                </w:p>
              </w:tc>
              <w:tc>
                <w:tcPr>
                  <w:tcW w:w="1023"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未检出</w:t>
                  </w:r>
                </w:p>
              </w:tc>
              <w:tc>
                <w:tcPr>
                  <w:tcW w:w="956"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Cs w:val="21"/>
                      <w:lang w:val="en-US" w:eastAsia="zh-CN"/>
                    </w:rPr>
                    <w:t>2.8</w:t>
                  </w:r>
                </w:p>
              </w:tc>
              <w:tc>
                <w:tcPr>
                  <w:tcW w:w="483"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w:t>
                  </w:r>
                </w:p>
              </w:tc>
              <w:tc>
                <w:tcPr>
                  <w:tcW w:w="456" w:type="dxa"/>
                  <w:tcBorders>
                    <w:top w:val="single" w:color="auto" w:sz="4" w:space="0"/>
                    <w:bottom w:val="single" w:color="auto" w:sz="4" w:space="0"/>
                    <w:right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达标</w:t>
                  </w:r>
                </w:p>
              </w:tc>
            </w:tr>
            <w:tr>
              <w:tblPrEx>
                <w:tblBorders>
                  <w:top w:val="single" w:color="000000" w:sz="4"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0" w:hRule="atLeast"/>
                <w:jc w:val="center"/>
              </w:trPr>
              <w:tc>
                <w:tcPr>
                  <w:tcW w:w="456" w:type="dxa"/>
                  <w:vMerge w:val="continue"/>
                  <w:tcBorders>
                    <w:lef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p>
              </w:tc>
              <w:tc>
                <w:tcPr>
                  <w:tcW w:w="1596" w:type="dxa"/>
                  <w:vMerge w:val="continue"/>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p>
              </w:tc>
              <w:tc>
                <w:tcPr>
                  <w:tcW w:w="1476" w:type="dxa"/>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p>
              </w:tc>
              <w:tc>
                <w:tcPr>
                  <w:tcW w:w="63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TSP</w:t>
                  </w:r>
                </w:p>
              </w:tc>
              <w:tc>
                <w:tcPr>
                  <w:tcW w:w="456" w:type="dxa"/>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p>
              </w:tc>
              <w:tc>
                <w:tcPr>
                  <w:tcW w:w="1023"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300</w:t>
                  </w:r>
                </w:p>
              </w:tc>
              <w:tc>
                <w:tcPr>
                  <w:tcW w:w="1023"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Cs w:val="21"/>
                      <w:lang w:val="en-US" w:eastAsia="zh-CN"/>
                    </w:rPr>
                    <w:t>75-82</w:t>
                  </w:r>
                </w:p>
              </w:tc>
              <w:tc>
                <w:tcPr>
                  <w:tcW w:w="956"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Cs w:val="21"/>
                      <w:lang w:val="en-US" w:eastAsia="zh-CN"/>
                    </w:rPr>
                    <w:t>27.33</w:t>
                  </w:r>
                  <w:r>
                    <w:rPr>
                      <w:rFonts w:hint="default" w:ascii="Times New Roman" w:hAnsi="Times New Roman" w:cs="Times New Roman"/>
                      <w:color w:val="auto"/>
                      <w:szCs w:val="21"/>
                    </w:rPr>
                    <w:t>%</w:t>
                  </w:r>
                </w:p>
              </w:tc>
              <w:tc>
                <w:tcPr>
                  <w:tcW w:w="483" w:type="dxa"/>
                  <w:tcBorders>
                    <w:top w:val="single" w:color="auto" w:sz="4" w:space="0"/>
                    <w:bottom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0</w:t>
                  </w:r>
                </w:p>
              </w:tc>
              <w:tc>
                <w:tcPr>
                  <w:tcW w:w="456" w:type="dxa"/>
                  <w:tcBorders>
                    <w:top w:val="single" w:color="auto" w:sz="4" w:space="0"/>
                    <w:bottom w:val="single" w:color="auto" w:sz="4" w:space="0"/>
                    <w:right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rPr>
                    <w:t>达标</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snapToGrid w:val="0"/>
                <w:color w:val="auto"/>
                <w:kern w:val="0"/>
                <w:sz w:val="21"/>
                <w:szCs w:val="18"/>
                <w:lang w:val="en-US" w:eastAsia="zh-CN"/>
              </w:rPr>
            </w:pPr>
            <w:r>
              <w:rPr>
                <w:rFonts w:hint="eastAsia" w:cs="Times New Roman"/>
                <w:snapToGrid w:val="0"/>
                <w:color w:val="auto"/>
                <w:kern w:val="0"/>
                <w:sz w:val="21"/>
                <w:szCs w:val="18"/>
                <w:lang w:val="en-US" w:eastAsia="zh-CN"/>
              </w:rPr>
              <w:t>注：非甲烷总烃检出限为0.07mg/</w:t>
            </w:r>
            <w:r>
              <w:rPr>
                <w:rFonts w:hint="default" w:ascii="Times New Roman" w:hAnsi="Times New Roman" w:cs="Times New Roman"/>
                <w:snapToGrid w:val="0"/>
                <w:color w:val="auto"/>
                <w:kern w:val="0"/>
                <w:sz w:val="21"/>
                <w:szCs w:val="18"/>
              </w:rPr>
              <w:t>m</w:t>
            </w:r>
            <w:r>
              <w:rPr>
                <w:rFonts w:hint="default" w:ascii="Times New Roman" w:hAnsi="Times New Roman" w:cs="Times New Roman"/>
                <w:snapToGrid w:val="0"/>
                <w:color w:val="auto"/>
                <w:kern w:val="0"/>
                <w:sz w:val="21"/>
                <w:szCs w:val="18"/>
                <w:vertAlign w:val="superscript"/>
              </w:rPr>
              <w:t>3</w:t>
            </w:r>
            <w:r>
              <w:rPr>
                <w:rFonts w:hint="eastAsia" w:cs="Times New Roman"/>
                <w:snapToGrid w:val="0"/>
                <w:color w:val="auto"/>
                <w:kern w:val="0"/>
                <w:sz w:val="21"/>
                <w:szCs w:val="18"/>
                <w:lang w:eastAsia="zh-CN"/>
              </w:rPr>
              <w:t>，</w:t>
            </w:r>
            <w:r>
              <w:rPr>
                <w:rFonts w:hint="default" w:ascii="Times New Roman" w:hAnsi="Times New Roman" w:cs="Times New Roman"/>
                <w:snapToGrid w:val="0"/>
                <w:color w:val="auto"/>
                <w:kern w:val="0"/>
                <w:sz w:val="21"/>
                <w:szCs w:val="18"/>
              </w:rPr>
              <w:t>苯并[a]芘</w:t>
            </w:r>
            <w:r>
              <w:rPr>
                <w:rFonts w:hint="eastAsia" w:cs="Times New Roman"/>
                <w:snapToGrid w:val="0"/>
                <w:color w:val="auto"/>
                <w:kern w:val="0"/>
                <w:sz w:val="21"/>
                <w:szCs w:val="18"/>
                <w:lang w:val="en-US" w:eastAsia="zh-CN"/>
              </w:rPr>
              <w:t>检出限为0.14ng/</w:t>
            </w:r>
            <w:r>
              <w:rPr>
                <w:rFonts w:hint="default" w:ascii="Times New Roman" w:hAnsi="Times New Roman" w:cs="Times New Roman"/>
                <w:snapToGrid w:val="0"/>
                <w:color w:val="auto"/>
                <w:kern w:val="0"/>
                <w:sz w:val="21"/>
                <w:szCs w:val="18"/>
              </w:rPr>
              <w:t>m</w:t>
            </w:r>
            <w:r>
              <w:rPr>
                <w:rFonts w:hint="default" w:ascii="Times New Roman" w:hAnsi="Times New Roman" w:cs="Times New Roman"/>
                <w:snapToGrid w:val="0"/>
                <w:color w:val="auto"/>
                <w:kern w:val="0"/>
                <w:sz w:val="21"/>
                <w:szCs w:val="18"/>
                <w:vertAlign w:val="superscript"/>
              </w:rPr>
              <w:t>3</w:t>
            </w:r>
            <w:r>
              <w:rPr>
                <w:rFonts w:hint="eastAsia" w:cs="Times New Roman"/>
                <w:snapToGrid w:val="0"/>
                <w:color w:val="auto"/>
                <w:kern w:val="0"/>
                <w:sz w:val="21"/>
                <w:szCs w:val="18"/>
                <w:lang w:eastAsia="zh-CN"/>
              </w:rPr>
              <w:t>，未检出的</w:t>
            </w:r>
            <w:r>
              <w:rPr>
                <w:rFonts w:hint="eastAsia" w:cs="Times New Roman"/>
                <w:snapToGrid w:val="0"/>
                <w:color w:val="auto"/>
                <w:kern w:val="0"/>
                <w:sz w:val="21"/>
                <w:szCs w:val="18"/>
                <w:lang w:val="en-US" w:eastAsia="zh-CN"/>
              </w:rPr>
              <w:t>监测项目</w:t>
            </w:r>
            <w:r>
              <w:rPr>
                <w:rFonts w:hint="eastAsia" w:cs="Times New Roman"/>
                <w:snapToGrid w:val="0"/>
                <w:color w:val="auto"/>
                <w:kern w:val="0"/>
                <w:sz w:val="21"/>
                <w:szCs w:val="18"/>
                <w:lang w:eastAsia="zh-CN"/>
              </w:rPr>
              <w:t>按照检出限的二分之一进行占标率计算。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根据监测结果，评价区域TSP 24小时平均浓度值满足《环境空气质量标准》（GB3095-2012）二级标准的要求。苯并[a]芘</w:t>
            </w:r>
            <w:r>
              <w:rPr>
                <w:rFonts w:hint="default" w:ascii="Times New Roman" w:hAnsi="Times New Roman" w:cs="Times New Roman"/>
                <w:color w:val="auto"/>
                <w:szCs w:val="21"/>
              </w:rPr>
              <w:t>24小时平均浓度值</w:t>
            </w:r>
            <w:r>
              <w:rPr>
                <w:rFonts w:hint="default" w:ascii="Times New Roman" w:hAnsi="Times New Roman" w:cs="Times New Roman"/>
                <w:snapToGrid w:val="0"/>
                <w:color w:val="auto"/>
                <w:kern w:val="0"/>
                <w:szCs w:val="21"/>
              </w:rPr>
              <w:t>满足《环境空气质量标准》（GB3095-2012）中表2中0.0025</w:t>
            </w:r>
            <w:r>
              <w:rPr>
                <w:rFonts w:hint="default" w:ascii="Times New Roman" w:hAnsi="Times New Roman" w:cs="Times New Roman"/>
                <w:color w:val="auto"/>
                <w:szCs w:val="21"/>
              </w:rPr>
              <w:t>μ</w:t>
            </w:r>
            <w:r>
              <w:rPr>
                <w:rFonts w:hint="default" w:ascii="Times New Roman" w:hAnsi="Times New Roman" w:cs="Times New Roman"/>
                <w:snapToGrid w:val="0"/>
                <w:color w:val="auto"/>
                <w:kern w:val="0"/>
                <w:szCs w:val="21"/>
              </w:rPr>
              <w:t>g/m</w:t>
            </w:r>
            <w:r>
              <w:rPr>
                <w:rFonts w:hint="default" w:ascii="Times New Roman" w:hAnsi="Times New Roman" w:cs="Times New Roman"/>
                <w:snapToGrid w:val="0"/>
                <w:color w:val="auto"/>
                <w:kern w:val="0"/>
                <w:szCs w:val="21"/>
                <w:vertAlign w:val="superscript"/>
              </w:rPr>
              <w:t>3</w:t>
            </w:r>
            <w:r>
              <w:rPr>
                <w:rFonts w:hint="default" w:ascii="Times New Roman" w:hAnsi="Times New Roman" w:cs="Times New Roman"/>
                <w:snapToGrid w:val="0"/>
                <w:color w:val="auto"/>
                <w:kern w:val="0"/>
                <w:szCs w:val="21"/>
              </w:rPr>
              <w:t>限值。</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Cs w:val="21"/>
              </w:rPr>
            </w:pPr>
            <w:r>
              <w:rPr>
                <w:rFonts w:hint="eastAsia" w:cs="Times New Roman"/>
                <w:b/>
                <w:bCs/>
                <w:color w:val="auto"/>
                <w:szCs w:val="21"/>
                <w:lang w:eastAsia="zh-CN"/>
              </w:rPr>
              <w:t>2.</w:t>
            </w:r>
            <w:r>
              <w:rPr>
                <w:rFonts w:hint="default" w:ascii="Times New Roman" w:hAnsi="Times New Roman" w:cs="Times New Roman"/>
                <w:b/>
                <w:bCs/>
                <w:color w:val="auto"/>
                <w:szCs w:val="21"/>
              </w:rPr>
              <w:t>水环境质量现状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Cs w:val="21"/>
              </w:rPr>
            </w:pPr>
            <w:r>
              <w:rPr>
                <w:rFonts w:hint="default" w:ascii="Times New Roman" w:hAnsi="Times New Roman" w:cs="Times New Roman"/>
                <w:color w:val="auto"/>
                <w:szCs w:val="21"/>
              </w:rPr>
              <w:t>本项目所在区域地表水体为</w:t>
            </w:r>
            <w:r>
              <w:rPr>
                <w:rFonts w:hint="eastAsia" w:cs="Times New Roman"/>
                <w:color w:val="auto"/>
                <w:szCs w:val="21"/>
                <w:lang w:val="en-US" w:eastAsia="zh-CN"/>
              </w:rPr>
              <w:t>结烈河</w:t>
            </w:r>
            <w:r>
              <w:rPr>
                <w:rFonts w:hint="default" w:ascii="Times New Roman" w:hAnsi="Times New Roman" w:cs="Times New Roman"/>
                <w:color w:val="auto"/>
                <w:szCs w:val="21"/>
              </w:rPr>
              <w:t>，</w:t>
            </w:r>
            <w:r>
              <w:rPr>
                <w:rFonts w:hint="eastAsia" w:cs="Times New Roman"/>
                <w:color w:val="auto"/>
                <w:szCs w:val="21"/>
                <w:lang w:val="en-US" w:eastAsia="zh-CN"/>
              </w:rPr>
              <w:t>结烈河为黑龙江支流，</w:t>
            </w:r>
            <w:r>
              <w:rPr>
                <w:rFonts w:hint="eastAsia"/>
                <w:color w:val="auto"/>
                <w:sz w:val="24"/>
              </w:rPr>
              <w:t>根据《2024年伊春市生态环境质量公报》，本项目附近地表水体属于黑龙江干流嘉荫断面，黑龙江干流嘉荫断面水质现状为Ⅳ类水体，水质目标为</w:t>
            </w:r>
            <w:r>
              <w:rPr>
                <w:rFonts w:hint="eastAsia"/>
                <w:color w:val="auto"/>
                <w:sz w:val="24"/>
                <w:lang w:val="en-US" w:eastAsia="zh-CN"/>
              </w:rPr>
              <w:t>Ⅲ</w:t>
            </w:r>
            <w:r>
              <w:rPr>
                <w:rFonts w:hint="eastAsia"/>
                <w:color w:val="auto"/>
                <w:sz w:val="24"/>
              </w:rPr>
              <w:t>类水体。该监测断面不满足《地表水环境质量标准》</w:t>
            </w:r>
            <w:r>
              <w:rPr>
                <w:rFonts w:hint="eastAsia"/>
                <w:color w:val="auto"/>
                <w:sz w:val="24"/>
                <w:lang w:eastAsia="zh-CN"/>
              </w:rPr>
              <w:t>（</w:t>
            </w:r>
            <w:r>
              <w:rPr>
                <w:rFonts w:hint="eastAsia"/>
                <w:color w:val="auto"/>
                <w:sz w:val="24"/>
              </w:rPr>
              <w:t>GB3838-2002</w:t>
            </w:r>
            <w:r>
              <w:rPr>
                <w:rFonts w:hint="eastAsia"/>
                <w:color w:val="auto"/>
                <w:sz w:val="24"/>
                <w:lang w:eastAsia="zh-CN"/>
              </w:rPr>
              <w:t>）</w:t>
            </w:r>
            <w:r>
              <w:rPr>
                <w:rFonts w:hint="eastAsia"/>
                <w:color w:val="auto"/>
                <w:sz w:val="24"/>
              </w:rPr>
              <w:t>Ⅲ类水体目标。</w:t>
            </w:r>
            <w:r>
              <w:rPr>
                <w:rFonts w:hint="eastAsia" w:ascii="Times New Roman" w:hAnsi="Times New Roman" w:eastAsia="宋体" w:cs="Times New Roman"/>
                <w:color w:val="auto"/>
                <w:kern w:val="0"/>
                <w:sz w:val="24"/>
                <w:szCs w:val="24"/>
                <w:highlight w:val="none"/>
                <w:u w:val="none" w:color="000000"/>
                <w:lang w:val="en-US" w:eastAsia="zh-CN" w:bidi="ar-SA"/>
              </w:rPr>
              <w:t>超标原因主要为受自然本底影响，水质类别超Ш类。</w:t>
            </w:r>
          </w:p>
          <w:p>
            <w:pPr>
              <w:keepNext w:val="0"/>
              <w:keepLines w:val="0"/>
              <w:pageBreakBefore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声环境质量现状</w:t>
            </w:r>
          </w:p>
          <w:p>
            <w:pPr>
              <w:pStyle w:val="2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根据《建设项目环境影响报告表编制技术指南（污染影响类）（试行）》，厂界外周边50米范围内存在声环境保护目标的建设项目，应监测保护目标声环境质量现状并评价达标情况。</w:t>
            </w:r>
            <w:r>
              <w:rPr>
                <w:rFonts w:hint="default" w:ascii="Times New Roman" w:hAnsi="Times New Roman" w:eastAsia="宋体" w:cs="Times New Roman"/>
                <w:color w:val="auto"/>
                <w:kern w:val="2"/>
                <w:sz w:val="24"/>
                <w:szCs w:val="21"/>
                <w:lang w:val="en-US" w:eastAsia="zh-CN" w:bidi="ar-SA"/>
              </w:rPr>
              <w:t>本项目厂界外周边50米范围内无声环境保护目标</w:t>
            </w:r>
            <w:r>
              <w:rPr>
                <w:rFonts w:hint="eastAsia" w:ascii="Times New Roman" w:hAnsi="Times New Roman" w:eastAsia="宋体" w:cs="Times New Roman"/>
                <w:color w:val="auto"/>
                <w:kern w:val="2"/>
                <w:sz w:val="24"/>
                <w:szCs w:val="21"/>
                <w:lang w:val="en-US" w:eastAsia="zh-CN" w:bidi="ar-SA"/>
              </w:rPr>
              <w:t>，无需进行现状监测</w:t>
            </w:r>
          </w:p>
          <w:p>
            <w:pPr>
              <w:spacing w:line="360" w:lineRule="auto"/>
              <w:ind w:firstLine="480" w:firstLineChars="20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6" w:type="dxa"/>
            <w:tcBorders>
              <w:tl2br w:val="nil"/>
              <w:tr2bl w:val="nil"/>
            </w:tcBorders>
            <w:vAlign w:val="center"/>
          </w:tcPr>
          <w:p>
            <w:pPr>
              <w:jc w:val="center"/>
              <w:rPr>
                <w:color w:val="auto"/>
              </w:rPr>
            </w:pPr>
            <w:r>
              <w:rPr>
                <w:color w:val="auto"/>
              </w:rPr>
              <w:t>环境保护目标</w:t>
            </w:r>
          </w:p>
        </w:tc>
        <w:tc>
          <w:tcPr>
            <w:tcW w:w="8781" w:type="dxa"/>
            <w:tcBorders>
              <w:tl2br w:val="nil"/>
              <w:tr2bl w:val="nil"/>
            </w:tcBorders>
          </w:tcPr>
          <w:p>
            <w:pPr>
              <w:pStyle w:val="51"/>
              <w:numPr>
                <w:ilvl w:val="0"/>
                <w:numId w:val="9"/>
              </w:numPr>
              <w:ind w:firstLine="482"/>
              <w:rPr>
                <w:b/>
                <w:bCs/>
                <w:color w:val="auto"/>
              </w:rPr>
            </w:pPr>
            <w:r>
              <w:rPr>
                <w:b/>
                <w:bCs/>
                <w:color w:val="auto"/>
              </w:rPr>
              <w:t>大气环境保护目标</w:t>
            </w:r>
          </w:p>
          <w:p>
            <w:pPr>
              <w:pStyle w:val="51"/>
              <w:numPr>
                <w:ilvl w:val="0"/>
                <w:numId w:val="0"/>
              </w:numPr>
              <w:ind w:firstLine="480" w:firstLineChars="200"/>
              <w:rPr>
                <w:rFonts w:hint="default" w:eastAsia="宋体"/>
                <w:b/>
                <w:bCs/>
                <w:color w:val="auto"/>
                <w:lang w:val="en-US" w:eastAsia="zh-CN"/>
              </w:rPr>
            </w:pPr>
            <w:r>
              <w:rPr>
                <w:rFonts w:hint="eastAsia"/>
                <w:color w:val="auto"/>
              </w:rPr>
              <w:t>本项目</w:t>
            </w:r>
            <w:r>
              <w:rPr>
                <w:rFonts w:hint="eastAsia"/>
                <w:color w:val="auto"/>
                <w:lang w:val="en-US" w:eastAsia="zh-CN"/>
              </w:rPr>
              <w:t>500m范围内无大气环境保护目标。</w:t>
            </w:r>
          </w:p>
          <w:p>
            <w:pPr>
              <w:pStyle w:val="51"/>
              <w:numPr>
                <w:ilvl w:val="0"/>
                <w:numId w:val="9"/>
              </w:numPr>
              <w:ind w:firstLine="482"/>
              <w:rPr>
                <w:b/>
                <w:bCs/>
                <w:color w:val="auto"/>
              </w:rPr>
            </w:pPr>
            <w:r>
              <w:rPr>
                <w:b/>
                <w:bCs/>
                <w:color w:val="auto"/>
              </w:rPr>
              <w:t>声环境保护目标</w:t>
            </w:r>
          </w:p>
          <w:p>
            <w:pPr>
              <w:pStyle w:val="51"/>
              <w:ind w:firstLine="480"/>
              <w:rPr>
                <w:color w:val="auto"/>
              </w:rPr>
            </w:pPr>
            <w:r>
              <w:rPr>
                <w:color w:val="auto"/>
              </w:rPr>
              <w:t>本项目厂界外50m范围内无声环境保护目标。</w:t>
            </w:r>
          </w:p>
          <w:p>
            <w:pPr>
              <w:pStyle w:val="51"/>
              <w:numPr>
                <w:ilvl w:val="0"/>
                <w:numId w:val="9"/>
              </w:numPr>
              <w:ind w:firstLine="482"/>
              <w:rPr>
                <w:b/>
                <w:bCs/>
                <w:color w:val="auto"/>
              </w:rPr>
            </w:pPr>
            <w:r>
              <w:rPr>
                <w:b/>
                <w:bCs/>
                <w:color w:val="auto"/>
              </w:rPr>
              <w:t>地下水环境保护目标</w:t>
            </w:r>
          </w:p>
          <w:p>
            <w:pPr>
              <w:spacing w:line="360" w:lineRule="auto"/>
              <w:ind w:firstLine="480" w:firstLineChars="200"/>
              <w:rPr>
                <w:color w:val="auto"/>
              </w:rPr>
            </w:pPr>
            <w:r>
              <w:rPr>
                <w:color w:val="auto"/>
              </w:rPr>
              <w:t>厂界外500米范围内无地下水集中式饮用水水源和热水、矿泉水、温泉等特殊地下水资源。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6" w:type="dxa"/>
            <w:tcBorders>
              <w:tl2br w:val="nil"/>
              <w:tr2bl w:val="nil"/>
            </w:tcBorders>
            <w:vAlign w:val="center"/>
          </w:tcPr>
          <w:p>
            <w:pPr>
              <w:jc w:val="center"/>
              <w:rPr>
                <w:color w:val="auto"/>
              </w:rPr>
            </w:pPr>
            <w:r>
              <w:rPr>
                <w:color w:val="auto"/>
              </w:rPr>
              <w:t>污染物排放控制标准</w:t>
            </w:r>
          </w:p>
        </w:tc>
        <w:tc>
          <w:tcPr>
            <w:tcW w:w="8781" w:type="dxa"/>
            <w:tcBorders>
              <w:tl2br w:val="nil"/>
              <w:tr2bl w:val="nil"/>
            </w:tcBorders>
          </w:tcPr>
          <w:p>
            <w:pPr>
              <w:pStyle w:val="51"/>
              <w:numPr>
                <w:ilvl w:val="0"/>
                <w:numId w:val="10"/>
              </w:numPr>
              <w:ind w:firstLine="482"/>
              <w:rPr>
                <w:b/>
                <w:bCs/>
                <w:color w:val="auto"/>
              </w:rPr>
            </w:pPr>
            <w:r>
              <w:rPr>
                <w:b/>
                <w:bCs/>
                <w:color w:val="auto"/>
              </w:rPr>
              <w:t>大气</w:t>
            </w:r>
          </w:p>
          <w:p>
            <w:pPr>
              <w:spacing w:line="360" w:lineRule="auto"/>
              <w:ind w:firstLine="480" w:firstLineChars="200"/>
              <w:rPr>
                <w:color w:val="auto"/>
              </w:rPr>
            </w:pPr>
            <w:r>
              <w:rPr>
                <w:color w:val="auto"/>
              </w:rPr>
              <w:t>施工期</w:t>
            </w:r>
            <w:r>
              <w:rPr>
                <w:rFonts w:hint="eastAsia"/>
                <w:color w:val="auto"/>
              </w:rPr>
              <w:t>：</w:t>
            </w:r>
            <w:r>
              <w:rPr>
                <w:color w:val="auto"/>
              </w:rPr>
              <w:t>无组织颗粒物浓度执行《大气污染物综合排放标准》（GB16297-1996）表2中无组织颗粒物浓度限值</w:t>
            </w:r>
            <w:r>
              <w:rPr>
                <w:rFonts w:hint="eastAsia"/>
                <w:color w:val="auto"/>
              </w:rPr>
              <w:t>。</w:t>
            </w:r>
          </w:p>
          <w:p>
            <w:pPr>
              <w:spacing w:line="360" w:lineRule="auto"/>
              <w:ind w:firstLine="480" w:firstLineChars="200"/>
              <w:rPr>
                <w:rFonts w:hint="eastAsia" w:eastAsia="宋体"/>
                <w:color w:val="auto"/>
                <w:lang w:val="en-US" w:eastAsia="zh-CN"/>
              </w:rPr>
            </w:pPr>
            <w:r>
              <w:rPr>
                <w:color w:val="auto"/>
              </w:rPr>
              <w:t>运营期</w:t>
            </w:r>
            <w:r>
              <w:rPr>
                <w:rFonts w:hint="eastAsia"/>
                <w:color w:val="auto"/>
              </w:rPr>
              <w:t>：导热油炉执行《锅炉大气污染物排放标准》（GB13271-2014）中表3标准；烘干滚筒，热骨料仓、沥青搅拌站、</w:t>
            </w:r>
            <w:r>
              <w:rPr>
                <w:rFonts w:hint="eastAsia"/>
                <w:color w:val="auto"/>
                <w:lang w:val="en-US" w:eastAsia="zh-CN"/>
              </w:rPr>
              <w:t>筒仓废气、</w:t>
            </w:r>
            <w:r>
              <w:rPr>
                <w:rFonts w:hint="eastAsia"/>
                <w:color w:val="auto"/>
              </w:rPr>
              <w:t>储罐呼吸等过程大气污染物颗粒物、苯并[a]芘、沥青烟排放执行《大气污染物综合排放标准》（GB16297-1996）表2中二级标准限值。厂界</w:t>
            </w:r>
            <w:r>
              <w:rPr>
                <w:rFonts w:hint="default" w:ascii="Times New Roman" w:hAnsi="Times New Roman" w:eastAsia="宋体" w:cs="Times New Roman"/>
                <w:color w:val="auto"/>
              </w:rPr>
              <w:t>苯并[a]芘</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颗粒物、沥青烟、非甲烷总烃</w:t>
            </w:r>
            <w:r>
              <w:rPr>
                <w:rFonts w:hint="eastAsia" w:ascii="Times New Roman" w:hAnsi="Times New Roman" w:eastAsia="宋体" w:cs="Times New Roman"/>
                <w:color w:val="auto"/>
              </w:rPr>
              <w:t>执行《大</w:t>
            </w:r>
            <w:r>
              <w:rPr>
                <w:rFonts w:hint="eastAsia"/>
                <w:color w:val="auto"/>
              </w:rPr>
              <w:t>气污染物综合排放标准》（GB16297-1996）表2中无组织排放监控浓度限值标准。</w:t>
            </w:r>
            <w:r>
              <w:rPr>
                <w:rFonts w:hint="default" w:ascii="Times New Roman" w:hAnsi="Times New Roman" w:cs="Times New Roman"/>
                <w:color w:val="auto"/>
                <w:szCs w:val="21"/>
              </w:rPr>
              <w:t>厂区内VOCs执行《挥发性有机物无组织排放控制标准》（GB37822-2019）</w:t>
            </w:r>
            <w:r>
              <w:rPr>
                <w:rFonts w:hint="eastAsia" w:ascii="Times New Roman" w:hAnsi="Times New Roman" w:cs="Times New Roman"/>
                <w:color w:val="auto"/>
                <w:szCs w:val="21"/>
                <w:lang w:eastAsia="zh-CN"/>
              </w:rPr>
              <w:t>。</w:t>
            </w:r>
          </w:p>
          <w:p>
            <w:pPr>
              <w:pStyle w:val="55"/>
              <w:numPr>
                <w:ilvl w:val="0"/>
                <w:numId w:val="0"/>
              </w:numPr>
              <w:rPr>
                <w:color w:val="auto"/>
              </w:rPr>
            </w:pPr>
            <w:r>
              <w:rPr>
                <w:color w:val="auto"/>
              </w:rPr>
              <w:t>表3-</w:t>
            </w:r>
            <w:r>
              <w:rPr>
                <w:rFonts w:hint="eastAsia"/>
                <w:color w:val="auto"/>
                <w:lang w:val="en-US" w:eastAsia="zh-CN"/>
              </w:rPr>
              <w:t>4</w:t>
            </w:r>
            <w:r>
              <w:rPr>
                <w:color w:val="auto"/>
              </w:rPr>
              <w:t xml:space="preserve">  污染物排放标准值</w:t>
            </w:r>
          </w:p>
          <w:tbl>
            <w:tblPr>
              <w:tblStyle w:val="30"/>
              <w:tblW w:w="85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259"/>
              <w:gridCol w:w="1283"/>
              <w:gridCol w:w="127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2259"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标准名称</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2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浓度限值mg/m</w:t>
                  </w:r>
                  <w:r>
                    <w:rPr>
                      <w:rFonts w:hint="default" w:ascii="Times New Roman" w:hAnsi="Times New Roman" w:cs="Times New Roman"/>
                      <w:b/>
                      <w:bCs/>
                      <w:color w:val="auto"/>
                      <w:szCs w:val="21"/>
                      <w:vertAlign w:val="superscript"/>
                    </w:rPr>
                    <w:t>3</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速率限值kg/h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4筒仓</w:t>
                  </w:r>
                  <w:r>
                    <w:rPr>
                      <w:rFonts w:hint="default" w:ascii="Times New Roman" w:hAnsi="Times New Roman" w:cs="Times New Roman"/>
                      <w:color w:val="auto"/>
                      <w:sz w:val="21"/>
                      <w:szCs w:val="21"/>
                    </w:rPr>
                    <w:t>废气</w:t>
                  </w:r>
                </w:p>
              </w:tc>
              <w:tc>
                <w:tcPr>
                  <w:tcW w:w="2259"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《大气污染物综合排放标准》（GB16297-1996）中表2标准</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DA002</w:t>
                  </w:r>
                  <w:r>
                    <w:rPr>
                      <w:rFonts w:hint="default" w:ascii="Times New Roman" w:hAnsi="Times New Roman" w:cs="Times New Roman"/>
                      <w:color w:val="auto"/>
                      <w:sz w:val="21"/>
                      <w:szCs w:val="21"/>
                    </w:rPr>
                    <w:t>烘干滚筒粉尘、燃料燃烧</w:t>
                  </w:r>
                </w:p>
              </w:tc>
              <w:tc>
                <w:tcPr>
                  <w:tcW w:w="2259"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《大气污染物综合排放标准》（GB16297-1996）</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270" w:type="dxa"/>
                  <w:noWrap w:val="0"/>
                  <w:vAlign w:val="center"/>
                </w:tcPr>
                <w:p>
                  <w:pPr>
                    <w:pStyle w:val="107"/>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120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270" w:type="dxa"/>
                  <w:noWrap w:val="0"/>
                  <w:vAlign w:val="center"/>
                </w:tcPr>
                <w:p>
                  <w:pPr>
                    <w:pStyle w:val="107"/>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550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氮氧化物</w:t>
                  </w:r>
                </w:p>
              </w:tc>
              <w:tc>
                <w:tcPr>
                  <w:tcW w:w="1270" w:type="dxa"/>
                  <w:noWrap w:val="0"/>
                  <w:vAlign w:val="center"/>
                </w:tcPr>
                <w:p>
                  <w:pPr>
                    <w:pStyle w:val="107"/>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240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导热油炉</w:t>
                  </w:r>
                </w:p>
              </w:tc>
              <w:tc>
                <w:tcPr>
                  <w:tcW w:w="2259"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《锅炉大气污染物排放标准》（GB13271-2014）中表2燃</w:t>
                  </w:r>
                  <w:r>
                    <w:rPr>
                      <w:rFonts w:hint="eastAsia" w:ascii="Times New Roman" w:hAnsi="Times New Roman" w:cs="Times New Roman"/>
                      <w:color w:val="auto"/>
                      <w:sz w:val="21"/>
                      <w:szCs w:val="21"/>
                      <w:lang w:val="en-US" w:eastAsia="zh-CN"/>
                    </w:rPr>
                    <w:t>气</w:t>
                  </w:r>
                  <w:r>
                    <w:rPr>
                      <w:rFonts w:hint="default" w:ascii="Times New Roman" w:hAnsi="Times New Roman" w:cs="Times New Roman"/>
                      <w:color w:val="auto"/>
                      <w:sz w:val="21"/>
                      <w:szCs w:val="21"/>
                    </w:rPr>
                    <w:t>锅炉大气污染物排放浓度限值</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200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50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烟气黑度（林格曼级）</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沥青搅拌</w:t>
                  </w:r>
                </w:p>
              </w:tc>
              <w:tc>
                <w:tcPr>
                  <w:tcW w:w="2259"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《大气污染物综合排放标准》（GB16297-1996）中表2标准</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苯并[a]芘</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0.0003</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eastAsia" w:cs="Times New Roman"/>
                      <w:color w:val="auto"/>
                      <w:sz w:val="21"/>
                      <w:szCs w:val="21"/>
                      <w:lang w:val="en-US" w:eastAsia="zh-CN"/>
                    </w:rPr>
                    <w:t>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沥青烟</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VOCs</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shd w:val="clear" w:color="auto" w:fill="auto"/>
                  <w:noWrap w:val="0"/>
                  <w:vAlign w:val="center"/>
                </w:tcPr>
                <w:p>
                  <w:pPr>
                    <w:pStyle w:val="1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p>
              </w:tc>
              <w:tc>
                <w:tcPr>
                  <w:tcW w:w="2259" w:type="dxa"/>
                  <w:shd w:val="clear" w:color="auto" w:fill="auto"/>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《大气污染物综合排放标准》（GB16297-1996）中表2标准</w:t>
                  </w:r>
                </w:p>
              </w:tc>
              <w:tc>
                <w:tcPr>
                  <w:tcW w:w="1283" w:type="dxa"/>
                  <w:shd w:val="clear" w:color="auto" w:fill="auto"/>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颗粒物</w:t>
                  </w:r>
                </w:p>
              </w:tc>
              <w:tc>
                <w:tcPr>
                  <w:tcW w:w="1270" w:type="dxa"/>
                  <w:shd w:val="clear" w:color="auto" w:fill="auto"/>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120</w:t>
                  </w:r>
                </w:p>
              </w:tc>
              <w:tc>
                <w:tcPr>
                  <w:tcW w:w="1660" w:type="dxa"/>
                  <w:shd w:val="clear" w:color="auto" w:fill="auto"/>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厂界</w:t>
                  </w:r>
                  <w:r>
                    <w:rPr>
                      <w:rFonts w:hint="default" w:ascii="Times New Roman" w:hAnsi="Times New Roman" w:cs="Times New Roman"/>
                      <w:color w:val="auto"/>
                      <w:sz w:val="21"/>
                      <w:szCs w:val="21"/>
                    </w:rPr>
                    <w:t>无组织废气</w:t>
                  </w:r>
                </w:p>
              </w:tc>
              <w:tc>
                <w:tcPr>
                  <w:tcW w:w="2259"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挥发性有机物无组织排放控制标准</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GB37822-2019）</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VOCs</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10（1h平均浓度值）</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《大气污染物综合排放标准》（GB16297-1996）中表2标准</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厂界非甲烷总烃</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restart"/>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《大气污染物综合排放标准》（GB16297-1996）中表2标准</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苯并[a]芘</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0.000008</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259" w:type="dxa"/>
                  <w:vMerge w:val="continue"/>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沥青烟</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生产设备不得有明显的无组织排放存在</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厂界无组织</w:t>
                  </w:r>
                  <w:r>
                    <w:rPr>
                      <w:rFonts w:hint="default" w:ascii="Times New Roman" w:hAnsi="Times New Roman" w:cs="Times New Roman"/>
                      <w:color w:val="auto"/>
                      <w:sz w:val="21"/>
                      <w:szCs w:val="21"/>
                    </w:rPr>
                    <w:t>粉尘</w:t>
                  </w:r>
                </w:p>
              </w:tc>
              <w:tc>
                <w:tcPr>
                  <w:tcW w:w="2259"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《大气污染物综合排放标准》（GB16297-1996）中表2标准</w:t>
                  </w:r>
                </w:p>
              </w:tc>
              <w:tc>
                <w:tcPr>
                  <w:tcW w:w="1283"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27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60" w:type="dxa"/>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51"/>
              <w:numPr>
                <w:ilvl w:val="0"/>
                <w:numId w:val="10"/>
              </w:numPr>
              <w:ind w:firstLine="482"/>
              <w:rPr>
                <w:b/>
                <w:bCs/>
                <w:color w:val="auto"/>
              </w:rPr>
            </w:pPr>
            <w:r>
              <w:rPr>
                <w:b/>
                <w:bCs/>
                <w:color w:val="auto"/>
              </w:rPr>
              <w:t>废水</w:t>
            </w:r>
          </w:p>
          <w:p>
            <w:pPr>
              <w:spacing w:line="360" w:lineRule="auto"/>
              <w:ind w:firstLine="480" w:firstLineChars="200"/>
              <w:rPr>
                <w:color w:val="auto"/>
              </w:rPr>
            </w:pPr>
            <w:r>
              <w:rPr>
                <w:color w:val="auto"/>
              </w:rPr>
              <w:t>本项目</w:t>
            </w:r>
            <w:r>
              <w:rPr>
                <w:rFonts w:hint="eastAsia"/>
                <w:color w:val="auto"/>
              </w:rPr>
              <w:t>无生产废水产生，产生的废水为生活污水，生活污水排入防渗</w:t>
            </w:r>
            <w:r>
              <w:rPr>
                <w:rFonts w:hint="eastAsia"/>
                <w:color w:val="auto"/>
                <w:lang w:val="en-US" w:eastAsia="zh-CN"/>
              </w:rPr>
              <w:t>旱厕</w:t>
            </w:r>
            <w:r>
              <w:rPr>
                <w:color w:val="auto"/>
              </w:rPr>
              <w:t>，定期清掏外运堆肥利用，不外排</w:t>
            </w:r>
            <w:r>
              <w:rPr>
                <w:rFonts w:hint="eastAsia"/>
                <w:color w:val="auto"/>
              </w:rPr>
              <w:t>。</w:t>
            </w:r>
          </w:p>
          <w:p>
            <w:pPr>
              <w:pStyle w:val="51"/>
              <w:numPr>
                <w:ilvl w:val="0"/>
                <w:numId w:val="10"/>
              </w:numPr>
              <w:ind w:firstLine="482"/>
              <w:rPr>
                <w:b/>
                <w:bCs/>
                <w:color w:val="auto"/>
              </w:rPr>
            </w:pPr>
            <w:r>
              <w:rPr>
                <w:b/>
                <w:bCs/>
                <w:color w:val="auto"/>
              </w:rPr>
              <w:t>噪声</w:t>
            </w:r>
          </w:p>
          <w:p>
            <w:pPr>
              <w:spacing w:line="360" w:lineRule="auto"/>
              <w:ind w:firstLine="480" w:firstLineChars="200"/>
              <w:rPr>
                <w:color w:val="auto"/>
              </w:rPr>
            </w:pPr>
            <w:r>
              <w:rPr>
                <w:color w:val="auto"/>
              </w:rPr>
              <w:t>施工期噪声执行</w:t>
            </w:r>
            <w:r>
              <w:rPr>
                <w:rFonts w:hint="eastAsia" w:ascii="Times New Roman" w:hAnsi="Times New Roman" w:eastAsia="宋体" w:cs="Times New Roman"/>
                <w:color w:val="auto"/>
                <w:lang w:eastAsia="zh-CN"/>
              </w:rPr>
              <w:t>《建筑施工噪声排放标准》（GB12523-2025）</w:t>
            </w:r>
            <w:r>
              <w:rPr>
                <w:color w:val="auto"/>
              </w:rPr>
              <w:t>。</w:t>
            </w:r>
          </w:p>
          <w:p>
            <w:pPr>
              <w:spacing w:line="360" w:lineRule="exact"/>
              <w:jc w:val="center"/>
              <w:rPr>
                <w:b/>
                <w:color w:val="auto"/>
              </w:rPr>
            </w:pPr>
            <w:r>
              <w:rPr>
                <w:b/>
                <w:color w:val="auto"/>
              </w:rPr>
              <w:t>表3-</w:t>
            </w:r>
            <w:r>
              <w:rPr>
                <w:rFonts w:hint="eastAsia"/>
                <w:b/>
                <w:color w:val="auto"/>
                <w:lang w:val="en-US" w:eastAsia="zh-CN"/>
              </w:rPr>
              <w:t>5</w:t>
            </w:r>
            <w:r>
              <w:rPr>
                <w:b/>
                <w:color w:val="auto"/>
              </w:rPr>
              <w:t xml:space="preserve">  </w:t>
            </w:r>
            <w:r>
              <w:rPr>
                <w:rFonts w:hint="eastAsia"/>
                <w:b/>
                <w:color w:val="auto"/>
              </w:rPr>
              <w:t>《建筑施工噪声排放标准》（GB12523-2025）</w:t>
            </w:r>
            <w:r>
              <w:rPr>
                <w:b/>
                <w:color w:val="auto"/>
              </w:rPr>
              <w:t xml:space="preserve">  </w:t>
            </w:r>
            <w:r>
              <w:rPr>
                <w:rFonts w:hint="eastAsia"/>
                <w:b/>
                <w:color w:val="auto"/>
              </w:rPr>
              <w:t xml:space="preserve">  </w:t>
            </w:r>
            <w:r>
              <w:rPr>
                <w:b/>
                <w:color w:val="auto"/>
              </w:rPr>
              <w:t>单位：dB(A)</w:t>
            </w:r>
          </w:p>
          <w:tbl>
            <w:tblPr>
              <w:tblStyle w:val="30"/>
              <w:tblW w:w="8565"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261"/>
              <w:gridCol w:w="3152"/>
              <w:gridCol w:w="3152"/>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283" w:hRule="atLeast"/>
                <w:jc w:val="center"/>
              </w:trPr>
              <w:tc>
                <w:tcPr>
                  <w:tcW w:w="2261" w:type="dxa"/>
                  <w:tcBorders>
                    <w:right w:val="single" w:color="auto" w:sz="4" w:space="0"/>
                  </w:tcBorders>
                  <w:tcMar>
                    <w:top w:w="17" w:type="dxa"/>
                    <w:left w:w="17" w:type="dxa"/>
                    <w:bottom w:w="0" w:type="dxa"/>
                    <w:right w:w="17" w:type="dxa"/>
                  </w:tcMar>
                  <w:vAlign w:val="center"/>
                </w:tcPr>
                <w:p>
                  <w:pPr>
                    <w:pStyle w:val="11"/>
                    <w:spacing w:line="300" w:lineRule="exact"/>
                    <w:jc w:val="center"/>
                    <w:rPr>
                      <w:b/>
                      <w:bCs/>
                      <w:color w:val="auto"/>
                      <w:sz w:val="21"/>
                      <w:szCs w:val="21"/>
                    </w:rPr>
                  </w:pPr>
                  <w:r>
                    <w:rPr>
                      <w:b/>
                      <w:bCs/>
                      <w:color w:val="auto"/>
                      <w:sz w:val="21"/>
                      <w:szCs w:val="21"/>
                    </w:rPr>
                    <w:t>时段</w:t>
                  </w:r>
                </w:p>
              </w:tc>
              <w:tc>
                <w:tcPr>
                  <w:tcW w:w="3152" w:type="dxa"/>
                  <w:tcBorders>
                    <w:left w:val="single" w:color="auto" w:sz="4" w:space="0"/>
                  </w:tcBorders>
                  <w:vAlign w:val="center"/>
                </w:tcPr>
                <w:p>
                  <w:pPr>
                    <w:pStyle w:val="11"/>
                    <w:spacing w:line="300" w:lineRule="exact"/>
                    <w:jc w:val="center"/>
                    <w:rPr>
                      <w:b/>
                      <w:bCs/>
                      <w:color w:val="auto"/>
                      <w:sz w:val="21"/>
                      <w:szCs w:val="21"/>
                    </w:rPr>
                  </w:pPr>
                  <w:r>
                    <w:rPr>
                      <w:b/>
                      <w:bCs/>
                      <w:color w:val="auto"/>
                      <w:sz w:val="21"/>
                      <w:szCs w:val="21"/>
                    </w:rPr>
                    <w:t>昼间</w:t>
                  </w:r>
                </w:p>
              </w:tc>
              <w:tc>
                <w:tcPr>
                  <w:tcW w:w="3152" w:type="dxa"/>
                  <w:tcMar>
                    <w:top w:w="17" w:type="dxa"/>
                    <w:left w:w="17" w:type="dxa"/>
                    <w:bottom w:w="0" w:type="dxa"/>
                    <w:right w:w="17" w:type="dxa"/>
                  </w:tcMar>
                  <w:vAlign w:val="center"/>
                </w:tcPr>
                <w:p>
                  <w:pPr>
                    <w:pStyle w:val="11"/>
                    <w:spacing w:line="300" w:lineRule="exact"/>
                    <w:jc w:val="center"/>
                    <w:rPr>
                      <w:b/>
                      <w:bCs/>
                      <w:color w:val="auto"/>
                      <w:sz w:val="21"/>
                      <w:szCs w:val="21"/>
                    </w:rPr>
                  </w:pPr>
                  <w:r>
                    <w:rPr>
                      <w:b/>
                      <w:bCs/>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283" w:hRule="atLeast"/>
                <w:jc w:val="center"/>
              </w:trPr>
              <w:tc>
                <w:tcPr>
                  <w:tcW w:w="2261" w:type="dxa"/>
                  <w:tcBorders>
                    <w:right w:val="single" w:color="auto" w:sz="4" w:space="0"/>
                  </w:tcBorders>
                  <w:tcMar>
                    <w:top w:w="17" w:type="dxa"/>
                    <w:left w:w="17" w:type="dxa"/>
                    <w:bottom w:w="0" w:type="dxa"/>
                    <w:right w:w="17" w:type="dxa"/>
                  </w:tcMar>
                  <w:vAlign w:val="center"/>
                </w:tcPr>
                <w:p>
                  <w:pPr>
                    <w:pStyle w:val="11"/>
                    <w:spacing w:line="300" w:lineRule="exact"/>
                    <w:jc w:val="center"/>
                    <w:rPr>
                      <w:color w:val="auto"/>
                      <w:sz w:val="21"/>
                      <w:szCs w:val="21"/>
                    </w:rPr>
                  </w:pPr>
                  <w:r>
                    <w:rPr>
                      <w:color w:val="auto"/>
                      <w:sz w:val="21"/>
                      <w:szCs w:val="21"/>
                    </w:rPr>
                    <w:t>标准值</w:t>
                  </w:r>
                </w:p>
              </w:tc>
              <w:tc>
                <w:tcPr>
                  <w:tcW w:w="3152" w:type="dxa"/>
                  <w:tcBorders>
                    <w:left w:val="single" w:color="auto" w:sz="4" w:space="0"/>
                  </w:tcBorders>
                  <w:vAlign w:val="center"/>
                </w:tcPr>
                <w:p>
                  <w:pPr>
                    <w:pStyle w:val="11"/>
                    <w:spacing w:line="300" w:lineRule="exact"/>
                    <w:jc w:val="center"/>
                    <w:rPr>
                      <w:color w:val="auto"/>
                      <w:sz w:val="21"/>
                      <w:szCs w:val="21"/>
                    </w:rPr>
                  </w:pPr>
                  <w:r>
                    <w:rPr>
                      <w:color w:val="auto"/>
                      <w:sz w:val="21"/>
                      <w:szCs w:val="21"/>
                    </w:rPr>
                    <w:t>70</w:t>
                  </w:r>
                </w:p>
              </w:tc>
              <w:tc>
                <w:tcPr>
                  <w:tcW w:w="3152" w:type="dxa"/>
                  <w:tcMar>
                    <w:top w:w="17" w:type="dxa"/>
                    <w:left w:w="17" w:type="dxa"/>
                    <w:bottom w:w="0" w:type="dxa"/>
                    <w:right w:w="17" w:type="dxa"/>
                  </w:tcMar>
                  <w:vAlign w:val="center"/>
                </w:tcPr>
                <w:p>
                  <w:pPr>
                    <w:pStyle w:val="11"/>
                    <w:spacing w:line="300" w:lineRule="exact"/>
                    <w:jc w:val="center"/>
                    <w:rPr>
                      <w:color w:val="auto"/>
                      <w:sz w:val="21"/>
                      <w:szCs w:val="21"/>
                    </w:rPr>
                  </w:pPr>
                  <w:r>
                    <w:rPr>
                      <w:color w:val="auto"/>
                      <w:sz w:val="21"/>
                      <w:szCs w:val="21"/>
                    </w:rPr>
                    <w:t>55</w:t>
                  </w:r>
                </w:p>
              </w:tc>
            </w:tr>
          </w:tbl>
          <w:p>
            <w:pPr>
              <w:pStyle w:val="88"/>
              <w:spacing w:before="0" w:after="0" w:line="500" w:lineRule="exact"/>
              <w:ind w:firstLine="480"/>
              <w:rPr>
                <w:color w:val="auto"/>
                <w:spacing w:val="0"/>
                <w:szCs w:val="28"/>
              </w:rPr>
            </w:pPr>
            <w:bookmarkStart w:id="18" w:name="_Ref196743448"/>
            <w:r>
              <w:rPr>
                <w:rFonts w:hint="eastAsia"/>
                <w:color w:val="auto"/>
                <w:spacing w:val="0"/>
                <w:lang w:val="en-US" w:eastAsia="zh-CN"/>
              </w:rPr>
              <w:t>厂界西侧噪声满足《工业企业厂界环境噪声排放标准》（GB123448-2008）表1中4类标准要求，东侧、南侧、北侧满足《工业企业厂界环境噪声排放标准》（GB123448-2008）表1中2类标准要求</w:t>
            </w:r>
            <w:r>
              <w:rPr>
                <w:rFonts w:hint="eastAsia"/>
                <w:color w:val="auto"/>
                <w:spacing w:val="0"/>
                <w:lang w:eastAsia="zh-CN"/>
              </w:rPr>
              <w:t>，</w:t>
            </w:r>
            <w:r>
              <w:rPr>
                <w:color w:val="auto"/>
                <w:spacing w:val="0"/>
              </w:rPr>
              <w:t>标准值见表3-</w:t>
            </w:r>
            <w:r>
              <w:rPr>
                <w:rFonts w:hint="eastAsia"/>
                <w:color w:val="auto"/>
                <w:spacing w:val="0"/>
                <w:lang w:val="en-US" w:eastAsia="zh-CN"/>
              </w:rPr>
              <w:t>6</w:t>
            </w:r>
            <w:r>
              <w:rPr>
                <w:color w:val="auto"/>
                <w:spacing w:val="0"/>
                <w:szCs w:val="28"/>
              </w:rPr>
              <w:t>。</w:t>
            </w:r>
          </w:p>
          <w:p>
            <w:pPr>
              <w:adjustRightInd w:val="0"/>
              <w:snapToGrid w:val="0"/>
              <w:spacing w:line="500" w:lineRule="exact"/>
              <w:jc w:val="center"/>
              <w:rPr>
                <w:color w:val="auto"/>
              </w:rPr>
            </w:pPr>
            <w:r>
              <w:rPr>
                <w:b/>
                <w:bCs/>
                <w:color w:val="auto"/>
              </w:rPr>
              <w:t>表3-</w:t>
            </w:r>
            <w:r>
              <w:rPr>
                <w:rFonts w:hint="eastAsia"/>
                <w:b/>
                <w:bCs/>
                <w:color w:val="auto"/>
                <w:lang w:val="en-US" w:eastAsia="zh-CN"/>
              </w:rPr>
              <w:t>6</w:t>
            </w:r>
            <w:r>
              <w:rPr>
                <w:b/>
                <w:bCs/>
                <w:color w:val="auto"/>
              </w:rPr>
              <w:t xml:space="preserve">  </w:t>
            </w:r>
            <w:r>
              <w:rPr>
                <w:b/>
                <w:color w:val="auto"/>
              </w:rPr>
              <w:t xml:space="preserve">工业企业厂界环境噪声排放标准     </w:t>
            </w:r>
            <w:r>
              <w:rPr>
                <w:bCs/>
                <w:color w:val="auto"/>
              </w:rPr>
              <w:t xml:space="preserve"> </w:t>
            </w:r>
            <w:r>
              <w:rPr>
                <w:b/>
                <w:color w:val="auto"/>
              </w:rPr>
              <w:t>单位：dB(A)</w:t>
            </w:r>
          </w:p>
          <w:tbl>
            <w:tblPr>
              <w:tblStyle w:val="30"/>
              <w:tblW w:w="8565"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47"/>
              <w:gridCol w:w="2994"/>
              <w:gridCol w:w="1217"/>
              <w:gridCol w:w="1741"/>
              <w:gridCol w:w="166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0" w:hRule="atLeast"/>
                <w:jc w:val="center"/>
              </w:trPr>
              <w:tc>
                <w:tcPr>
                  <w:tcW w:w="947" w:type="dxa"/>
                  <w:vMerge w:val="restart"/>
                  <w:tcBorders>
                    <w:top w:val="single" w:color="auto" w:sz="12" w:space="0"/>
                  </w:tcBorders>
                  <w:vAlign w:val="center"/>
                </w:tcPr>
                <w:p>
                  <w:pPr>
                    <w:spacing w:line="360" w:lineRule="exact"/>
                    <w:jc w:val="center"/>
                    <w:rPr>
                      <w:b/>
                      <w:bCs/>
                      <w:color w:val="auto"/>
                      <w:sz w:val="21"/>
                      <w:szCs w:val="21"/>
                    </w:rPr>
                  </w:pPr>
                  <w:r>
                    <w:rPr>
                      <w:b/>
                      <w:bCs/>
                      <w:color w:val="auto"/>
                      <w:sz w:val="21"/>
                      <w:szCs w:val="21"/>
                    </w:rPr>
                    <w:t>时段</w:t>
                  </w:r>
                </w:p>
              </w:tc>
              <w:tc>
                <w:tcPr>
                  <w:tcW w:w="2994" w:type="dxa"/>
                  <w:vMerge w:val="restart"/>
                  <w:tcBorders>
                    <w:top w:val="single" w:color="auto" w:sz="12" w:space="0"/>
                  </w:tcBorders>
                  <w:vAlign w:val="center"/>
                </w:tcPr>
                <w:p>
                  <w:pPr>
                    <w:spacing w:line="360" w:lineRule="exact"/>
                    <w:jc w:val="center"/>
                    <w:rPr>
                      <w:b/>
                      <w:bCs/>
                      <w:color w:val="auto"/>
                      <w:sz w:val="21"/>
                      <w:szCs w:val="21"/>
                    </w:rPr>
                  </w:pPr>
                  <w:r>
                    <w:rPr>
                      <w:b/>
                      <w:bCs/>
                      <w:color w:val="auto"/>
                      <w:sz w:val="21"/>
                      <w:szCs w:val="21"/>
                    </w:rPr>
                    <w:t>声源类型</w:t>
                  </w:r>
                </w:p>
              </w:tc>
              <w:tc>
                <w:tcPr>
                  <w:tcW w:w="1217" w:type="dxa"/>
                  <w:vMerge w:val="restart"/>
                  <w:tcBorders>
                    <w:top w:val="single" w:color="auto" w:sz="12" w:space="0"/>
                  </w:tcBorders>
                  <w:vAlign w:val="center"/>
                </w:tcPr>
                <w:p>
                  <w:pPr>
                    <w:spacing w:line="360" w:lineRule="exact"/>
                    <w:jc w:val="center"/>
                    <w:rPr>
                      <w:b/>
                      <w:bCs/>
                      <w:color w:val="auto"/>
                      <w:sz w:val="21"/>
                      <w:szCs w:val="21"/>
                    </w:rPr>
                  </w:pPr>
                  <w:r>
                    <w:rPr>
                      <w:b/>
                      <w:bCs/>
                      <w:color w:val="auto"/>
                      <w:sz w:val="21"/>
                      <w:szCs w:val="21"/>
                    </w:rPr>
                    <w:t>标准类别</w:t>
                  </w:r>
                </w:p>
              </w:tc>
              <w:tc>
                <w:tcPr>
                  <w:tcW w:w="3407" w:type="dxa"/>
                  <w:gridSpan w:val="2"/>
                  <w:tcBorders>
                    <w:top w:val="single" w:color="auto" w:sz="12" w:space="0"/>
                  </w:tcBorders>
                  <w:vAlign w:val="center"/>
                </w:tcPr>
                <w:p>
                  <w:pPr>
                    <w:spacing w:line="360" w:lineRule="exact"/>
                    <w:jc w:val="center"/>
                    <w:rPr>
                      <w:b/>
                      <w:bCs/>
                      <w:color w:val="auto"/>
                      <w:sz w:val="21"/>
                      <w:szCs w:val="21"/>
                    </w:rPr>
                  </w:pPr>
                  <w:r>
                    <w:rPr>
                      <w:b/>
                      <w:bCs/>
                      <w:color w:val="auto"/>
                      <w:sz w:val="21"/>
                      <w:szCs w:val="21"/>
                    </w:rPr>
                    <w:t>标准限值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5" w:hRule="atLeast"/>
                <w:jc w:val="center"/>
              </w:trPr>
              <w:tc>
                <w:tcPr>
                  <w:tcW w:w="947" w:type="dxa"/>
                  <w:vMerge w:val="continue"/>
                  <w:tcBorders>
                    <w:bottom w:val="single" w:color="auto" w:sz="8" w:space="0"/>
                  </w:tcBorders>
                  <w:vAlign w:val="center"/>
                </w:tcPr>
                <w:p>
                  <w:pPr>
                    <w:spacing w:line="360" w:lineRule="exact"/>
                    <w:jc w:val="center"/>
                    <w:rPr>
                      <w:b/>
                      <w:bCs/>
                      <w:color w:val="auto"/>
                      <w:sz w:val="21"/>
                      <w:szCs w:val="21"/>
                    </w:rPr>
                  </w:pPr>
                </w:p>
              </w:tc>
              <w:tc>
                <w:tcPr>
                  <w:tcW w:w="2994" w:type="dxa"/>
                  <w:vMerge w:val="continue"/>
                  <w:tcBorders>
                    <w:bottom w:val="single" w:color="auto" w:sz="8" w:space="0"/>
                  </w:tcBorders>
                  <w:vAlign w:val="center"/>
                </w:tcPr>
                <w:p>
                  <w:pPr>
                    <w:spacing w:line="360" w:lineRule="exact"/>
                    <w:jc w:val="center"/>
                    <w:rPr>
                      <w:b/>
                      <w:bCs/>
                      <w:color w:val="auto"/>
                      <w:sz w:val="21"/>
                      <w:szCs w:val="21"/>
                    </w:rPr>
                  </w:pPr>
                </w:p>
              </w:tc>
              <w:tc>
                <w:tcPr>
                  <w:tcW w:w="1217" w:type="dxa"/>
                  <w:vMerge w:val="continue"/>
                  <w:tcBorders>
                    <w:bottom w:val="single" w:color="auto" w:sz="8" w:space="0"/>
                  </w:tcBorders>
                </w:tcPr>
                <w:p>
                  <w:pPr>
                    <w:spacing w:line="360" w:lineRule="exact"/>
                    <w:jc w:val="center"/>
                    <w:rPr>
                      <w:b/>
                      <w:bCs/>
                      <w:color w:val="auto"/>
                      <w:sz w:val="21"/>
                      <w:szCs w:val="21"/>
                    </w:rPr>
                  </w:pPr>
                </w:p>
              </w:tc>
              <w:tc>
                <w:tcPr>
                  <w:tcW w:w="1741" w:type="dxa"/>
                  <w:tcBorders>
                    <w:bottom w:val="single" w:color="auto" w:sz="8" w:space="0"/>
                  </w:tcBorders>
                  <w:vAlign w:val="center"/>
                </w:tcPr>
                <w:p>
                  <w:pPr>
                    <w:spacing w:line="360" w:lineRule="exact"/>
                    <w:jc w:val="center"/>
                    <w:rPr>
                      <w:b/>
                      <w:bCs/>
                      <w:color w:val="auto"/>
                      <w:sz w:val="21"/>
                      <w:szCs w:val="21"/>
                    </w:rPr>
                  </w:pPr>
                  <w:r>
                    <w:rPr>
                      <w:b/>
                      <w:bCs/>
                      <w:color w:val="auto"/>
                      <w:sz w:val="21"/>
                      <w:szCs w:val="21"/>
                    </w:rPr>
                    <w:t>昼间</w:t>
                  </w:r>
                </w:p>
              </w:tc>
              <w:tc>
                <w:tcPr>
                  <w:tcW w:w="1666" w:type="dxa"/>
                  <w:tcBorders>
                    <w:bottom w:val="single" w:color="auto" w:sz="8" w:space="0"/>
                  </w:tcBorders>
                  <w:vAlign w:val="center"/>
                </w:tcPr>
                <w:p>
                  <w:pPr>
                    <w:spacing w:line="360" w:lineRule="exact"/>
                    <w:jc w:val="center"/>
                    <w:rPr>
                      <w:b/>
                      <w:bCs/>
                      <w:color w:val="auto"/>
                      <w:sz w:val="21"/>
                      <w:szCs w:val="21"/>
                    </w:rPr>
                  </w:pPr>
                  <w:r>
                    <w:rPr>
                      <w:b/>
                      <w:bCs/>
                      <w:color w:val="auto"/>
                      <w:sz w:val="21"/>
                      <w:szCs w:val="21"/>
                    </w:rPr>
                    <w:t>夜间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39" w:hRule="atLeast"/>
                <w:jc w:val="center"/>
              </w:trPr>
              <w:tc>
                <w:tcPr>
                  <w:tcW w:w="947" w:type="dxa"/>
                  <w:vAlign w:val="center"/>
                </w:tcPr>
                <w:p>
                  <w:pPr>
                    <w:spacing w:line="360" w:lineRule="exact"/>
                    <w:jc w:val="center"/>
                    <w:rPr>
                      <w:color w:val="auto"/>
                      <w:sz w:val="21"/>
                      <w:szCs w:val="21"/>
                    </w:rPr>
                  </w:pPr>
                  <w:r>
                    <w:rPr>
                      <w:color w:val="auto"/>
                      <w:sz w:val="21"/>
                      <w:szCs w:val="21"/>
                    </w:rPr>
                    <w:t>运营期</w:t>
                  </w:r>
                </w:p>
              </w:tc>
              <w:tc>
                <w:tcPr>
                  <w:tcW w:w="2994" w:type="dxa"/>
                  <w:vAlign w:val="center"/>
                </w:tcPr>
                <w:p>
                  <w:pPr>
                    <w:spacing w:line="360" w:lineRule="exact"/>
                    <w:jc w:val="center"/>
                    <w:rPr>
                      <w:color w:val="auto"/>
                      <w:sz w:val="21"/>
                      <w:szCs w:val="21"/>
                    </w:rPr>
                  </w:pPr>
                  <w:r>
                    <w:rPr>
                      <w:color w:val="auto"/>
                      <w:sz w:val="21"/>
                      <w:szCs w:val="21"/>
                    </w:rPr>
                    <w:t>厂界噪声</w:t>
                  </w:r>
                </w:p>
              </w:tc>
              <w:tc>
                <w:tcPr>
                  <w:tcW w:w="1217" w:type="dxa"/>
                  <w:vAlign w:val="center"/>
                </w:tcPr>
                <w:p>
                  <w:pPr>
                    <w:spacing w:line="360" w:lineRule="exact"/>
                    <w:jc w:val="center"/>
                    <w:rPr>
                      <w:color w:val="auto"/>
                      <w:sz w:val="21"/>
                      <w:szCs w:val="21"/>
                    </w:rPr>
                  </w:pPr>
                  <w:r>
                    <w:rPr>
                      <w:rFonts w:hint="eastAsia"/>
                      <w:color w:val="auto"/>
                      <w:sz w:val="21"/>
                      <w:szCs w:val="21"/>
                      <w:lang w:val="en-US" w:eastAsia="zh-CN"/>
                    </w:rPr>
                    <w:t>2</w:t>
                  </w:r>
                  <w:r>
                    <w:rPr>
                      <w:color w:val="auto"/>
                      <w:sz w:val="21"/>
                      <w:szCs w:val="21"/>
                    </w:rPr>
                    <w:t>类</w:t>
                  </w:r>
                </w:p>
              </w:tc>
              <w:tc>
                <w:tcPr>
                  <w:tcW w:w="1741" w:type="dxa"/>
                  <w:vAlign w:val="center"/>
                </w:tcPr>
                <w:p>
                  <w:pPr>
                    <w:spacing w:line="360" w:lineRule="exact"/>
                    <w:jc w:val="center"/>
                    <w:rPr>
                      <w:rFonts w:hint="eastAsia" w:eastAsia="宋体"/>
                      <w:color w:val="auto"/>
                      <w:sz w:val="21"/>
                      <w:szCs w:val="21"/>
                      <w:lang w:eastAsia="zh-CN"/>
                    </w:rPr>
                  </w:pPr>
                  <w:r>
                    <w:rPr>
                      <w:color w:val="auto"/>
                      <w:sz w:val="21"/>
                      <w:szCs w:val="21"/>
                    </w:rPr>
                    <w:t>6</w:t>
                  </w:r>
                  <w:r>
                    <w:rPr>
                      <w:rFonts w:hint="eastAsia"/>
                      <w:color w:val="auto"/>
                      <w:sz w:val="21"/>
                      <w:szCs w:val="21"/>
                      <w:lang w:val="en-US" w:eastAsia="zh-CN"/>
                    </w:rPr>
                    <w:t>0</w:t>
                  </w:r>
                </w:p>
              </w:tc>
              <w:tc>
                <w:tcPr>
                  <w:tcW w:w="1666" w:type="dxa"/>
                  <w:vAlign w:val="center"/>
                </w:tcPr>
                <w:p>
                  <w:pPr>
                    <w:spacing w:line="360" w:lineRule="exact"/>
                    <w:jc w:val="center"/>
                    <w:rPr>
                      <w:rFonts w:hint="default" w:eastAsia="宋体"/>
                      <w:color w:val="auto"/>
                      <w:sz w:val="21"/>
                      <w:szCs w:val="21"/>
                      <w:lang w:val="en-US" w:eastAsia="zh-CN"/>
                    </w:rPr>
                  </w:pPr>
                  <w:r>
                    <w:rPr>
                      <w:rFonts w:hint="eastAsia"/>
                      <w:color w:val="auto"/>
                      <w:sz w:val="21"/>
                      <w:szCs w:val="21"/>
                      <w:lang w:val="en-US" w:eastAsia="zh-CN"/>
                    </w:rPr>
                    <w:t>50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39" w:hRule="atLeast"/>
                <w:jc w:val="center"/>
              </w:trPr>
              <w:tc>
                <w:tcPr>
                  <w:tcW w:w="947" w:type="dxa"/>
                  <w:shd w:val="clear" w:color="auto" w:fill="auto"/>
                  <w:vAlign w:val="center"/>
                </w:tcPr>
                <w:p>
                  <w:pPr>
                    <w:spacing w:line="360" w:lineRule="exact"/>
                    <w:jc w:val="center"/>
                    <w:rPr>
                      <w:rFonts w:ascii="Times New Roman" w:hAnsi="Times New Roman" w:eastAsia="宋体" w:cs="Times New Roman"/>
                      <w:color w:val="auto"/>
                      <w:kern w:val="2"/>
                      <w:sz w:val="21"/>
                      <w:szCs w:val="21"/>
                      <w:lang w:val="en-US" w:eastAsia="zh-CN" w:bidi="ar-SA"/>
                    </w:rPr>
                  </w:pPr>
                  <w:r>
                    <w:rPr>
                      <w:color w:val="auto"/>
                      <w:sz w:val="21"/>
                      <w:szCs w:val="21"/>
                    </w:rPr>
                    <w:t>运营期</w:t>
                  </w:r>
                </w:p>
              </w:tc>
              <w:tc>
                <w:tcPr>
                  <w:tcW w:w="2994" w:type="dxa"/>
                  <w:shd w:val="clear" w:color="auto" w:fill="auto"/>
                  <w:vAlign w:val="center"/>
                </w:tcPr>
                <w:p>
                  <w:pPr>
                    <w:spacing w:line="360" w:lineRule="exact"/>
                    <w:jc w:val="center"/>
                    <w:rPr>
                      <w:rFonts w:ascii="Times New Roman" w:hAnsi="Times New Roman" w:eastAsia="宋体" w:cs="Times New Roman"/>
                      <w:color w:val="auto"/>
                      <w:kern w:val="2"/>
                      <w:sz w:val="21"/>
                      <w:szCs w:val="21"/>
                      <w:lang w:val="en-US" w:eastAsia="zh-CN" w:bidi="ar-SA"/>
                    </w:rPr>
                  </w:pPr>
                  <w:r>
                    <w:rPr>
                      <w:color w:val="auto"/>
                      <w:sz w:val="21"/>
                      <w:szCs w:val="21"/>
                    </w:rPr>
                    <w:t>厂界噪声</w:t>
                  </w:r>
                </w:p>
              </w:tc>
              <w:tc>
                <w:tcPr>
                  <w:tcW w:w="1217" w:type="dxa"/>
                  <w:shd w:val="clear" w:color="auto" w:fill="auto"/>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r>
                    <w:rPr>
                      <w:color w:val="auto"/>
                      <w:sz w:val="21"/>
                      <w:szCs w:val="21"/>
                    </w:rPr>
                    <w:t>类</w:t>
                  </w:r>
                </w:p>
              </w:tc>
              <w:tc>
                <w:tcPr>
                  <w:tcW w:w="1741" w:type="dxa"/>
                  <w:shd w:val="clear" w:color="auto" w:fill="auto"/>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70</w:t>
                  </w:r>
                </w:p>
              </w:tc>
              <w:tc>
                <w:tcPr>
                  <w:tcW w:w="1666" w:type="dxa"/>
                  <w:shd w:val="clear" w:color="auto" w:fill="auto"/>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r>
            <w:bookmarkEnd w:id="18"/>
          </w:tbl>
          <w:p>
            <w:pPr>
              <w:pStyle w:val="51"/>
              <w:numPr>
                <w:ilvl w:val="0"/>
                <w:numId w:val="10"/>
              </w:numPr>
              <w:ind w:firstLine="482"/>
              <w:rPr>
                <w:b/>
                <w:bCs/>
                <w:color w:val="auto"/>
              </w:rPr>
            </w:pPr>
            <w:r>
              <w:rPr>
                <w:b/>
                <w:bCs/>
                <w:color w:val="auto"/>
              </w:rPr>
              <w:t>固体废物</w:t>
            </w:r>
          </w:p>
          <w:p>
            <w:pPr>
              <w:spacing w:line="360" w:lineRule="auto"/>
              <w:ind w:firstLine="480" w:firstLineChars="200"/>
              <w:rPr>
                <w:color w:val="auto"/>
              </w:rPr>
            </w:pPr>
            <w:r>
              <w:rPr>
                <w:rFonts w:hint="eastAsia"/>
                <w:bCs/>
                <w:color w:val="auto"/>
              </w:rPr>
              <w:t>一般工业固体废物执行《一般工业固体废物贮存和填埋污染控制标准》（GB18599-2020）标准、关于发布《固体废物分类与代码目录》的公告（公告2024年第4号）。危险废物执行《危险废物贮存污染控制标准》（GB18597-2023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6" w:type="dxa"/>
            <w:tcBorders>
              <w:tl2br w:val="nil"/>
              <w:tr2bl w:val="nil"/>
            </w:tcBorders>
            <w:vAlign w:val="center"/>
          </w:tcPr>
          <w:p>
            <w:pPr>
              <w:jc w:val="center"/>
              <w:rPr>
                <w:color w:val="auto"/>
              </w:rPr>
            </w:pPr>
            <w:r>
              <w:rPr>
                <w:color w:val="auto"/>
              </w:rPr>
              <w:t>总量控制指标</w:t>
            </w:r>
          </w:p>
        </w:tc>
        <w:tc>
          <w:tcPr>
            <w:tcW w:w="8781" w:type="dxa"/>
            <w:tcBorders>
              <w:tl2br w:val="nil"/>
              <w:tr2bl w:val="nil"/>
            </w:tcBorders>
            <w:vAlign w:val="center"/>
          </w:tcPr>
          <w:p>
            <w:pPr>
              <w:spacing w:before="120" w:beforeLines="50" w:line="360" w:lineRule="exact"/>
              <w:jc w:val="center"/>
              <w:rPr>
                <w:b/>
                <w:color w:val="auto"/>
              </w:rPr>
            </w:pPr>
            <w:r>
              <w:rPr>
                <w:b/>
                <w:color w:val="auto"/>
              </w:rPr>
              <w:t>表3-</w:t>
            </w:r>
            <w:r>
              <w:rPr>
                <w:rFonts w:hint="eastAsia"/>
                <w:b/>
                <w:color w:val="auto"/>
                <w:lang w:val="en-US" w:eastAsia="zh-CN"/>
              </w:rPr>
              <w:t>7</w:t>
            </w:r>
            <w:r>
              <w:rPr>
                <w:b/>
                <w:color w:val="auto"/>
              </w:rPr>
              <w:t xml:space="preserve">  </w:t>
            </w:r>
            <w:r>
              <w:rPr>
                <w:rFonts w:hint="eastAsia"/>
                <w:b/>
                <w:color w:val="auto"/>
              </w:rPr>
              <w:t>总量控制指标表</w:t>
            </w:r>
          </w:p>
          <w:tbl>
            <w:tblPr>
              <w:tblStyle w:val="30"/>
              <w:tblW w:w="803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2677"/>
              <w:gridCol w:w="2681"/>
              <w:gridCol w:w="2680"/>
            </w:tblGrid>
            <w:tr>
              <w:tblPrEx>
                <w:tblLayout w:type="fixed"/>
                <w:tblCellMar>
                  <w:top w:w="0" w:type="dxa"/>
                  <w:left w:w="108" w:type="dxa"/>
                  <w:bottom w:w="0" w:type="dxa"/>
                  <w:right w:w="108" w:type="dxa"/>
                </w:tblCellMar>
              </w:tblPrEx>
              <w:trPr>
                <w:trHeight w:val="283" w:hRule="atLeast"/>
              </w:trPr>
              <w:tc>
                <w:tcPr>
                  <w:tcW w:w="2677"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污染因子</w:t>
                  </w:r>
                </w:p>
              </w:tc>
              <w:tc>
                <w:tcPr>
                  <w:tcW w:w="2681"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预测排放量</w:t>
                  </w:r>
                </w:p>
              </w:tc>
              <w:tc>
                <w:tcPr>
                  <w:tcW w:w="2680"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核定排放量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83" w:hRule="atLeast"/>
              </w:trPr>
              <w:tc>
                <w:tcPr>
                  <w:tcW w:w="2677"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2681"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0.068</w:t>
                  </w:r>
                </w:p>
              </w:tc>
              <w:tc>
                <w:tcPr>
                  <w:tcW w:w="2680" w:type="dxa"/>
                  <w:noWrap w:val="0"/>
                  <w:vAlign w:val="center"/>
                </w:tcPr>
                <w:p>
                  <w:pPr>
                    <w:jc w:val="center"/>
                    <w:rPr>
                      <w:rFonts w:hint="default" w:ascii="Times New Roman" w:hAnsi="Times New Roman" w:cs="Times New Roman"/>
                      <w:color w:val="auto"/>
                      <w:sz w:val="24"/>
                      <w:szCs w:val="24"/>
                      <w:lang w:val="en-US"/>
                    </w:rPr>
                  </w:pPr>
                  <w:r>
                    <w:rPr>
                      <w:rFonts w:hint="eastAsia"/>
                      <w:color w:val="auto"/>
                      <w:sz w:val="24"/>
                      <w:szCs w:val="24"/>
                      <w:lang w:val="en-US" w:eastAsia="zh-CN"/>
                    </w:rPr>
                    <w:t>1.557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83" w:hRule="atLeast"/>
              </w:trPr>
              <w:tc>
                <w:tcPr>
                  <w:tcW w:w="2677"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二氧化硫</w:t>
                  </w:r>
                </w:p>
              </w:tc>
              <w:tc>
                <w:tcPr>
                  <w:tcW w:w="2681"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0.005</w:t>
                  </w:r>
                </w:p>
              </w:tc>
              <w:tc>
                <w:tcPr>
                  <w:tcW w:w="2680" w:type="dxa"/>
                  <w:noWrap w:val="0"/>
                  <w:vAlign w:val="center"/>
                </w:tcPr>
                <w:p>
                  <w:pPr>
                    <w:jc w:val="center"/>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6.733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83" w:hRule="atLeast"/>
              </w:trPr>
              <w:tc>
                <w:tcPr>
                  <w:tcW w:w="2677"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氮氧化物</w:t>
                  </w:r>
                </w:p>
              </w:tc>
              <w:tc>
                <w:tcPr>
                  <w:tcW w:w="2681"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2.444</w:t>
                  </w:r>
                </w:p>
              </w:tc>
              <w:tc>
                <w:tcPr>
                  <w:tcW w:w="2680" w:type="dxa"/>
                  <w:noWrap w:val="0"/>
                  <w:vAlign w:val="center"/>
                </w:tcPr>
                <w:p>
                  <w:pPr>
                    <w:jc w:val="center"/>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3.583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83" w:hRule="atLeast"/>
              </w:trPr>
              <w:tc>
                <w:tcPr>
                  <w:tcW w:w="2677"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挥发性有机物（以非甲烷总烃计）</w:t>
                  </w:r>
                </w:p>
              </w:tc>
              <w:tc>
                <w:tcPr>
                  <w:tcW w:w="2681" w:type="dxa"/>
                  <w:noWrap w:val="0"/>
                  <w:vAlign w:val="center"/>
                </w:tcPr>
                <w:p>
                  <w:pPr>
                    <w:pStyle w:val="23"/>
                    <w:keepNext w:val="0"/>
                    <w:keepLines w:val="0"/>
                    <w:suppressLineNumbers w:val="0"/>
                    <w:tabs>
                      <w:tab w:val="right" w:leader="dot" w:pos="8720"/>
                    </w:tabs>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pacing w:val="3"/>
                      <w:szCs w:val="21"/>
                      <w:lang w:val="en-US" w:eastAsia="zh-CN"/>
                    </w:rPr>
                    <w:t>0.003</w:t>
                  </w:r>
                </w:p>
              </w:tc>
              <w:tc>
                <w:tcPr>
                  <w:tcW w:w="2680" w:type="dxa"/>
                  <w:noWrap w:val="0"/>
                  <w:vAlign w:val="center"/>
                </w:tcPr>
                <w:p>
                  <w:pPr>
                    <w:jc w:val="center"/>
                    <w:rPr>
                      <w:rFonts w:hint="default" w:ascii="Times New Roman" w:hAnsi="Times New Roman" w:cs="Times New Roman"/>
                      <w:color w:val="auto"/>
                      <w:sz w:val="24"/>
                      <w:szCs w:val="24"/>
                      <w:lang w:val="en-US"/>
                    </w:rPr>
                  </w:pPr>
                  <w:r>
                    <w:rPr>
                      <w:rFonts w:hint="eastAsia"/>
                      <w:color w:val="auto"/>
                      <w:sz w:val="24"/>
                      <w:szCs w:val="24"/>
                      <w:lang w:val="en-US" w:eastAsia="zh-CN"/>
                    </w:rPr>
                    <w:t>1.296</w:t>
                  </w:r>
                </w:p>
              </w:tc>
            </w:tr>
          </w:tbl>
          <w:p>
            <w:pPr>
              <w:spacing w:line="360" w:lineRule="auto"/>
              <w:rPr>
                <w:rStyle w:val="35"/>
                <w:color w:val="auto"/>
              </w:rPr>
            </w:pPr>
          </w:p>
        </w:tc>
      </w:tr>
    </w:tbl>
    <w:p>
      <w:pPr>
        <w:rPr>
          <w:color w:val="auto"/>
        </w:rPr>
        <w:sectPr>
          <w:pgSz w:w="11906" w:h="16838"/>
          <w:pgMar w:top="1701" w:right="1531" w:bottom="1701" w:left="1531" w:header="851" w:footer="992" w:gutter="0"/>
          <w:cols w:space="425" w:num="1"/>
          <w:docGrid w:linePitch="312" w:charSpace="0"/>
        </w:sectPr>
      </w:pPr>
    </w:p>
    <w:p>
      <w:pPr>
        <w:jc w:val="center"/>
        <w:outlineLvl w:val="0"/>
        <w:rPr>
          <w:rFonts w:eastAsia="黑体"/>
          <w:color w:val="auto"/>
          <w:sz w:val="30"/>
          <w:szCs w:val="30"/>
        </w:rPr>
      </w:pPr>
      <w:bookmarkStart w:id="19" w:name="_Toc24051"/>
      <w:bookmarkStart w:id="20" w:name="_Toc17806"/>
      <w:bookmarkStart w:id="21" w:name="_Toc5580"/>
      <w:bookmarkStart w:id="22" w:name="_Toc15855"/>
      <w:bookmarkStart w:id="23" w:name="_Toc19191"/>
      <w:r>
        <w:rPr>
          <w:rFonts w:eastAsia="黑体"/>
          <w:color w:val="auto"/>
          <w:sz w:val="30"/>
          <w:szCs w:val="30"/>
        </w:rPr>
        <w:t>四、主要环境影响和保护措施</w:t>
      </w:r>
      <w:bookmarkEnd w:id="19"/>
      <w:bookmarkEnd w:id="20"/>
      <w:bookmarkEnd w:id="21"/>
      <w:bookmarkEnd w:id="22"/>
      <w:bookmarkEnd w:id="23"/>
    </w:p>
    <w:tbl>
      <w:tblPr>
        <w:tblStyle w:val="31"/>
        <w:tblW w:w="90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02"/>
        <w:gridCol w:w="86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006" w:hRule="atLeast"/>
        </w:trPr>
        <w:tc>
          <w:tcPr>
            <w:tcW w:w="402" w:type="dxa"/>
            <w:tcBorders>
              <w:tl2br w:val="nil"/>
              <w:tr2bl w:val="nil"/>
            </w:tcBorders>
            <w:vAlign w:val="center"/>
          </w:tcPr>
          <w:p>
            <w:pPr>
              <w:jc w:val="center"/>
              <w:rPr>
                <w:color w:val="auto"/>
              </w:rPr>
            </w:pPr>
            <w:r>
              <w:rPr>
                <w:color w:val="auto"/>
              </w:rPr>
              <w:t>施工期环境保护措施</w:t>
            </w:r>
          </w:p>
        </w:tc>
        <w:tc>
          <w:tcPr>
            <w:tcW w:w="8658" w:type="dxa"/>
            <w:tcBorders>
              <w:tl2br w:val="nil"/>
              <w:tr2bl w:val="nil"/>
            </w:tcBorders>
            <w:vAlign w:val="center"/>
          </w:tcPr>
          <w:p>
            <w:pPr>
              <w:spacing w:line="360" w:lineRule="auto"/>
              <w:ind w:firstLine="482" w:firstLineChars="200"/>
              <w:textAlignment w:val="center"/>
              <w:rPr>
                <w:b/>
                <w:color w:val="auto"/>
              </w:rPr>
            </w:pPr>
            <w:r>
              <w:rPr>
                <w:rFonts w:hint="eastAsia"/>
                <w:b/>
                <w:color w:val="auto"/>
                <w:lang w:eastAsia="zh-CN"/>
              </w:rPr>
              <w:t>1.</w:t>
            </w:r>
            <w:r>
              <w:rPr>
                <w:b/>
                <w:color w:val="auto"/>
              </w:rPr>
              <w:t>水环境</w:t>
            </w:r>
          </w:p>
          <w:p>
            <w:pPr>
              <w:spacing w:line="360" w:lineRule="auto"/>
              <w:ind w:firstLine="480" w:firstLineChars="200"/>
              <w:textAlignment w:val="center"/>
              <w:rPr>
                <w:color w:val="auto"/>
              </w:rPr>
            </w:pPr>
            <w:r>
              <w:rPr>
                <w:color w:val="auto"/>
              </w:rPr>
              <w:t>施工期生产废水经沉淀池沉降处理后全部循环使用，施工现场的生产废水不对外排放；施工期生活污水</w:t>
            </w:r>
            <w:r>
              <w:rPr>
                <w:bCs/>
                <w:color w:val="auto"/>
              </w:rPr>
              <w:t>排入</w:t>
            </w:r>
            <w:r>
              <w:rPr>
                <w:rFonts w:hint="eastAsia"/>
                <w:bCs/>
                <w:color w:val="auto"/>
              </w:rPr>
              <w:t>防渗</w:t>
            </w:r>
            <w:r>
              <w:rPr>
                <w:rFonts w:hint="eastAsia"/>
                <w:bCs/>
                <w:color w:val="auto"/>
                <w:lang w:val="en-US" w:eastAsia="zh-CN"/>
              </w:rPr>
              <w:t>旱厕</w:t>
            </w:r>
            <w:r>
              <w:rPr>
                <w:rFonts w:hint="eastAsia"/>
                <w:bCs/>
                <w:color w:val="auto"/>
              </w:rPr>
              <w:t>，定期清掏，外运堆肥</w:t>
            </w:r>
            <w:r>
              <w:rPr>
                <w:color w:val="auto"/>
              </w:rPr>
              <w:t>。经过这些措施，本项目施工期对周围水环境不会产生明显的影响。</w:t>
            </w:r>
          </w:p>
          <w:p>
            <w:pPr>
              <w:spacing w:line="360" w:lineRule="auto"/>
              <w:ind w:firstLine="482" w:firstLineChars="200"/>
              <w:textAlignment w:val="center"/>
              <w:rPr>
                <w:b/>
                <w:color w:val="auto"/>
              </w:rPr>
            </w:pPr>
            <w:r>
              <w:rPr>
                <w:rFonts w:hint="eastAsia"/>
                <w:b/>
                <w:color w:val="auto"/>
                <w:lang w:eastAsia="zh-CN"/>
              </w:rPr>
              <w:t>2.</w:t>
            </w:r>
            <w:r>
              <w:rPr>
                <w:b/>
                <w:color w:val="auto"/>
              </w:rPr>
              <w:t>大气环境</w:t>
            </w:r>
          </w:p>
          <w:p>
            <w:pPr>
              <w:spacing w:line="360" w:lineRule="auto"/>
              <w:ind w:firstLine="480" w:firstLineChars="200"/>
              <w:rPr>
                <w:color w:val="auto"/>
              </w:rPr>
            </w:pPr>
            <w:r>
              <w:rPr>
                <w:color w:val="auto"/>
              </w:rPr>
              <w:t>本项目施工过程中产生的大气污染物主要为</w:t>
            </w:r>
            <w:r>
              <w:rPr>
                <w:rFonts w:hint="eastAsia"/>
                <w:color w:val="auto"/>
              </w:rPr>
              <w:t>施工</w:t>
            </w:r>
            <w:r>
              <w:rPr>
                <w:color w:val="auto"/>
              </w:rPr>
              <w:t>扬尘与施工机械产生的扬尘。</w:t>
            </w:r>
          </w:p>
          <w:p>
            <w:pPr>
              <w:spacing w:line="360" w:lineRule="auto"/>
              <w:ind w:firstLine="480" w:firstLineChars="200"/>
              <w:rPr>
                <w:color w:val="auto"/>
              </w:rPr>
            </w:pPr>
            <w:r>
              <w:rPr>
                <w:color w:val="auto"/>
              </w:rPr>
              <w:t>拟建工程施工期所产生的主要大气污染源为粉尘、扬尘（颗粒物），主要包括土方挖掘，现场对土方堆存</w:t>
            </w:r>
            <w:r>
              <w:rPr>
                <w:rFonts w:hint="eastAsia"/>
                <w:color w:val="auto"/>
              </w:rPr>
              <w:t>期间</w:t>
            </w:r>
            <w:r>
              <w:rPr>
                <w:color w:val="auto"/>
              </w:rPr>
              <w:t>造成的扬尘，车辆运输造成的道路扬尘。运输车辆产生的尾气和扬尘，建议采取如下</w:t>
            </w:r>
            <w:r>
              <w:rPr>
                <w:rFonts w:hint="eastAsia"/>
                <w:color w:val="auto"/>
              </w:rPr>
              <w:t>措</w:t>
            </w:r>
            <w:r>
              <w:rPr>
                <w:color w:val="auto"/>
              </w:rPr>
              <w:t>施：</w:t>
            </w:r>
          </w:p>
          <w:p>
            <w:pPr>
              <w:spacing w:line="360" w:lineRule="auto"/>
              <w:ind w:firstLine="480" w:firstLineChars="200"/>
              <w:rPr>
                <w:color w:val="auto"/>
              </w:rPr>
            </w:pPr>
            <w:r>
              <w:rPr>
                <w:color w:val="auto"/>
              </w:rPr>
              <w:t>①运输车辆尾气：加强往返于施工区车辆的管理和维修，使用有害物质量少的优质燃料，以减少尾气排放污染大气。</w:t>
            </w:r>
          </w:p>
          <w:p>
            <w:pPr>
              <w:spacing w:line="360" w:lineRule="auto"/>
              <w:ind w:firstLine="480" w:firstLineChars="200"/>
              <w:rPr>
                <w:color w:val="auto"/>
              </w:rPr>
            </w:pPr>
            <w:r>
              <w:rPr>
                <w:color w:val="auto"/>
              </w:rPr>
              <w:t>②运输车辆扬尘：采取道路定期清理清扫，洒水降尘（该措施依据季节选择性使用），以避免扬尘。</w:t>
            </w:r>
          </w:p>
          <w:p>
            <w:pPr>
              <w:pStyle w:val="3"/>
              <w:spacing w:line="360" w:lineRule="auto"/>
              <w:ind w:firstLine="480" w:firstLineChars="200"/>
              <w:jc w:val="both"/>
              <w:rPr>
                <w:color w:val="auto"/>
                <w:sz w:val="24"/>
              </w:rPr>
            </w:pPr>
            <w:r>
              <w:rPr>
                <w:color w:val="auto"/>
                <w:sz w:val="24"/>
              </w:rPr>
              <w:t>采取以上措施后，运输车辆产生的尾气和扬尘满足《大气污染物综合排放标准》（GB16297-1996）表2无组织</w:t>
            </w:r>
            <w:r>
              <w:rPr>
                <w:rFonts w:hint="eastAsia"/>
                <w:color w:val="auto"/>
                <w:sz w:val="24"/>
              </w:rPr>
              <w:t>排放</w:t>
            </w:r>
            <w:r>
              <w:rPr>
                <w:color w:val="auto"/>
                <w:sz w:val="24"/>
              </w:rPr>
              <w:t>限值要求。</w:t>
            </w:r>
          </w:p>
          <w:p>
            <w:pPr>
              <w:spacing w:line="360" w:lineRule="auto"/>
              <w:ind w:firstLine="480" w:firstLineChars="200"/>
              <w:rPr>
                <w:color w:val="auto"/>
              </w:rPr>
            </w:pPr>
            <w:r>
              <w:rPr>
                <w:color w:val="auto"/>
              </w:rPr>
              <w:t>土方挖掘、堆放会产生一定量的扬尘，如果是存放遇到大风天气，将会使扬尘量大量增加。建议采取以下措施：</w:t>
            </w:r>
          </w:p>
          <w:p>
            <w:pPr>
              <w:spacing w:line="360" w:lineRule="auto"/>
              <w:ind w:firstLine="480" w:firstLineChars="200"/>
              <w:rPr>
                <w:color w:val="auto"/>
              </w:rPr>
            </w:pPr>
            <w:r>
              <w:rPr>
                <w:color w:val="auto"/>
              </w:rPr>
              <w:t>①应保持土方临时堆放处四周设置围挡，并定期清扫。</w:t>
            </w:r>
          </w:p>
          <w:p>
            <w:pPr>
              <w:spacing w:line="360" w:lineRule="auto"/>
              <w:ind w:firstLine="480" w:firstLineChars="200"/>
              <w:rPr>
                <w:color w:val="auto"/>
              </w:rPr>
            </w:pPr>
            <w:r>
              <w:rPr>
                <w:color w:val="auto"/>
              </w:rPr>
              <w:t>②对易起尘施工材料实行遮挡或加盖苫布。</w:t>
            </w:r>
          </w:p>
          <w:p>
            <w:pPr>
              <w:spacing w:line="360" w:lineRule="auto"/>
              <w:ind w:firstLine="480" w:firstLineChars="200"/>
              <w:rPr>
                <w:color w:val="auto"/>
              </w:rPr>
            </w:pPr>
            <w:r>
              <w:rPr>
                <w:color w:val="auto"/>
              </w:rPr>
              <w:t>土方及施工材料的堆放是暂时的，伴随施工期结束，该影响会消除。项目弃土场设置围挡，降低扬尘对周围环境空气的影响。土方挖掘、堆放产生的扬尘满足《大气污染物综合排放标准》（GB16297-1996）表2无组织</w:t>
            </w:r>
            <w:r>
              <w:rPr>
                <w:rFonts w:hint="eastAsia"/>
                <w:color w:val="auto"/>
              </w:rPr>
              <w:t>排放</w:t>
            </w:r>
            <w:r>
              <w:rPr>
                <w:color w:val="auto"/>
              </w:rPr>
              <w:t>限值要求。由于施工期较短，施工期间产生的环境空气污染物将随着施工的结束而消失，因此在严格执行本报告所提出的污染防治措施的前提下，施工扬尘及粉尘的影响较小。</w:t>
            </w:r>
          </w:p>
          <w:p>
            <w:pPr>
              <w:spacing w:line="360" w:lineRule="auto"/>
              <w:ind w:firstLine="482" w:firstLineChars="200"/>
              <w:textAlignment w:val="center"/>
              <w:rPr>
                <w:b/>
                <w:color w:val="auto"/>
              </w:rPr>
            </w:pPr>
            <w:r>
              <w:rPr>
                <w:rFonts w:hint="eastAsia"/>
                <w:b/>
                <w:color w:val="auto"/>
                <w:lang w:eastAsia="zh-CN"/>
              </w:rPr>
              <w:t>3.</w:t>
            </w:r>
            <w:r>
              <w:rPr>
                <w:b/>
                <w:color w:val="auto"/>
              </w:rPr>
              <w:t>声环境</w:t>
            </w:r>
          </w:p>
          <w:p>
            <w:pPr>
              <w:pStyle w:val="89"/>
              <w:spacing w:line="360" w:lineRule="auto"/>
              <w:ind w:firstLine="480"/>
              <w:textAlignment w:val="center"/>
              <w:rPr>
                <w:bCs/>
                <w:color w:val="auto"/>
              </w:rPr>
            </w:pPr>
            <w:r>
              <w:rPr>
                <w:bCs/>
                <w:color w:val="auto"/>
              </w:rPr>
              <w:t>本项目施工过程中产生的噪声主要包括施工机械噪声、运输车辆噪声以及土建施工噪声。本项目施工期产生的噪声主要为挖掘机、水平定向钻机等的施工机械噪声以及运输车辆产生的噪声，其声压级约在72dB(A)～85dB</w:t>
            </w:r>
            <w:r>
              <w:rPr>
                <w:rFonts w:hint="eastAsia"/>
                <w:bCs/>
                <w:color w:val="auto"/>
              </w:rPr>
              <w:t>（</w:t>
            </w:r>
            <w:r>
              <w:rPr>
                <w:bCs/>
                <w:color w:val="auto"/>
              </w:rPr>
              <w:t>A</w:t>
            </w:r>
            <w:r>
              <w:rPr>
                <w:rFonts w:hint="eastAsia"/>
                <w:bCs/>
                <w:color w:val="auto"/>
              </w:rPr>
              <w:t>）</w:t>
            </w:r>
            <w:r>
              <w:rPr>
                <w:bCs/>
                <w:color w:val="auto"/>
              </w:rPr>
              <w:t>范围内。</w:t>
            </w:r>
          </w:p>
          <w:p>
            <w:pPr>
              <w:pStyle w:val="89"/>
              <w:spacing w:line="360" w:lineRule="auto"/>
              <w:ind w:firstLine="480"/>
              <w:textAlignment w:val="center"/>
              <w:rPr>
                <w:bCs/>
                <w:color w:val="auto"/>
              </w:rPr>
            </w:pPr>
            <w:r>
              <w:rPr>
                <w:bCs/>
                <w:color w:val="auto"/>
              </w:rPr>
              <w:t>根据本项目的特点，拟采取以下措施防止噪声对外环境的影响：</w:t>
            </w:r>
          </w:p>
          <w:p>
            <w:pPr>
              <w:pStyle w:val="89"/>
              <w:spacing w:line="360" w:lineRule="auto"/>
              <w:ind w:firstLine="480"/>
              <w:textAlignment w:val="center"/>
              <w:rPr>
                <w:bCs/>
                <w:color w:val="auto"/>
              </w:rPr>
            </w:pPr>
            <w:r>
              <w:rPr>
                <w:bCs/>
                <w:color w:val="auto"/>
              </w:rPr>
              <w:t>①合理安排施工作业时间</w:t>
            </w:r>
          </w:p>
          <w:p>
            <w:pPr>
              <w:pStyle w:val="89"/>
              <w:spacing w:line="360" w:lineRule="auto"/>
              <w:ind w:firstLine="480"/>
              <w:textAlignment w:val="center"/>
              <w:rPr>
                <w:bCs/>
                <w:color w:val="auto"/>
              </w:rPr>
            </w:pPr>
            <w:r>
              <w:rPr>
                <w:bCs/>
                <w:color w:val="auto"/>
              </w:rPr>
              <w:t>在保证施工进度的前提下，合理安排作业时间，夜间不施工。</w:t>
            </w:r>
          </w:p>
          <w:p>
            <w:pPr>
              <w:pStyle w:val="89"/>
              <w:spacing w:line="360" w:lineRule="auto"/>
              <w:ind w:firstLine="480"/>
              <w:textAlignment w:val="center"/>
              <w:rPr>
                <w:bCs/>
                <w:color w:val="auto"/>
              </w:rPr>
            </w:pPr>
            <w:r>
              <w:rPr>
                <w:bCs/>
                <w:color w:val="auto"/>
              </w:rPr>
              <w:t>②合理选择施工机械设备</w:t>
            </w:r>
          </w:p>
          <w:p>
            <w:pPr>
              <w:pStyle w:val="89"/>
              <w:spacing w:line="360" w:lineRule="auto"/>
              <w:ind w:firstLine="480"/>
              <w:textAlignment w:val="center"/>
              <w:rPr>
                <w:bCs/>
                <w:color w:val="auto"/>
              </w:rPr>
            </w:pPr>
            <w:r>
              <w:rPr>
                <w:bCs/>
                <w:color w:val="auto"/>
              </w:rPr>
              <w:t>施工过程中，施工单位必须选择符合国家有关标准的施工机械及运输车辆，尽量选用低噪音、低振动的各类施工机械设备，注意维修养护及正确使用，使之保持较好工作状态和低声级水平；对排放高强度</w:t>
            </w:r>
            <w:r>
              <w:rPr>
                <w:rFonts w:hint="eastAsia"/>
                <w:bCs/>
                <w:color w:val="auto"/>
                <w:lang w:eastAsia="zh-CN"/>
              </w:rPr>
              <w:t>噪声</w:t>
            </w:r>
            <w:r>
              <w:rPr>
                <w:bCs/>
                <w:color w:val="auto"/>
              </w:rPr>
              <w:t>的施工机械设备应设置隔声或消音装置，减少对环境的影响。</w:t>
            </w:r>
          </w:p>
          <w:p>
            <w:pPr>
              <w:pStyle w:val="89"/>
              <w:spacing w:line="360" w:lineRule="auto"/>
              <w:ind w:firstLine="480"/>
              <w:textAlignment w:val="center"/>
              <w:rPr>
                <w:bCs/>
                <w:color w:val="auto"/>
              </w:rPr>
            </w:pPr>
            <w:r>
              <w:rPr>
                <w:bCs/>
                <w:color w:val="auto"/>
              </w:rPr>
              <w:t>③加强施工管理</w:t>
            </w:r>
          </w:p>
          <w:p>
            <w:pPr>
              <w:pStyle w:val="89"/>
              <w:spacing w:line="360" w:lineRule="auto"/>
              <w:ind w:firstLine="480"/>
              <w:textAlignment w:val="center"/>
              <w:rPr>
                <w:bCs/>
                <w:color w:val="auto"/>
              </w:rPr>
            </w:pPr>
            <w:r>
              <w:rPr>
                <w:bCs/>
                <w:color w:val="auto"/>
              </w:rPr>
              <w:t>运输车辆在行经居民区时，应严格执行限速行驶，并禁止鸣笛，以减少噪声对周围环境的危害。</w:t>
            </w:r>
          </w:p>
          <w:p>
            <w:pPr>
              <w:pStyle w:val="89"/>
              <w:spacing w:line="360" w:lineRule="auto"/>
              <w:ind w:firstLine="480"/>
              <w:textAlignment w:val="center"/>
              <w:rPr>
                <w:bCs/>
                <w:color w:val="auto"/>
              </w:rPr>
            </w:pPr>
            <w:r>
              <w:rPr>
                <w:bCs/>
                <w:color w:val="auto"/>
              </w:rPr>
              <w:t>综上所述，采用以上措施后施工噪声满足</w:t>
            </w:r>
            <w:r>
              <w:rPr>
                <w:rFonts w:hint="eastAsia" w:ascii="Times New Roman" w:hAnsi="Times New Roman" w:eastAsia="宋体" w:cs="Times New Roman"/>
                <w:color w:val="auto"/>
                <w:lang w:eastAsia="zh-CN"/>
              </w:rPr>
              <w:t>《建筑施工噪声排放标准》（GB12523-2025）</w:t>
            </w:r>
            <w:r>
              <w:rPr>
                <w:bCs/>
                <w:color w:val="auto"/>
              </w:rPr>
              <w:t>限值要求。</w:t>
            </w:r>
          </w:p>
          <w:p>
            <w:pPr>
              <w:pStyle w:val="89"/>
              <w:spacing w:line="360" w:lineRule="auto"/>
              <w:ind w:firstLine="480"/>
              <w:textAlignment w:val="center"/>
              <w:rPr>
                <w:bCs/>
                <w:color w:val="auto"/>
              </w:rPr>
            </w:pPr>
            <w:r>
              <w:rPr>
                <w:bCs/>
                <w:color w:val="auto"/>
              </w:rPr>
              <w:t>由于施工期较短，本项目产生的噪声对声环境影响较小。</w:t>
            </w:r>
          </w:p>
          <w:p>
            <w:pPr>
              <w:pStyle w:val="89"/>
              <w:spacing w:line="360" w:lineRule="auto"/>
              <w:ind w:firstLine="482"/>
              <w:textAlignment w:val="center"/>
              <w:rPr>
                <w:b/>
                <w:color w:val="auto"/>
              </w:rPr>
            </w:pPr>
            <w:r>
              <w:rPr>
                <w:rFonts w:hint="eastAsia"/>
                <w:b/>
                <w:color w:val="auto"/>
                <w:lang w:eastAsia="zh-CN"/>
              </w:rPr>
              <w:t>4.</w:t>
            </w:r>
            <w:r>
              <w:rPr>
                <w:b/>
                <w:color w:val="auto"/>
              </w:rPr>
              <w:t>固体废物</w:t>
            </w:r>
          </w:p>
          <w:p>
            <w:pPr>
              <w:snapToGrid w:val="0"/>
              <w:spacing w:line="360" w:lineRule="auto"/>
              <w:ind w:firstLine="480" w:firstLineChars="200"/>
              <w:rPr>
                <w:color w:val="auto"/>
              </w:rPr>
            </w:pPr>
            <w:r>
              <w:rPr>
                <w:color w:val="auto"/>
              </w:rPr>
              <w:t>本项目施工期固体废物污染主要为施工人员的生活垃圾与施工过程中产生的</w:t>
            </w:r>
            <w:r>
              <w:rPr>
                <w:rFonts w:hint="eastAsia"/>
                <w:color w:val="auto"/>
              </w:rPr>
              <w:t>废弃建筑材料</w:t>
            </w:r>
            <w:r>
              <w:rPr>
                <w:color w:val="auto"/>
              </w:rPr>
              <w:t>。本项目施工人员产生的生活垃圾</w:t>
            </w:r>
            <w:r>
              <w:rPr>
                <w:rFonts w:hint="eastAsia"/>
                <w:color w:val="auto"/>
              </w:rPr>
              <w:t>和</w:t>
            </w:r>
            <w:r>
              <w:rPr>
                <w:color w:val="auto"/>
              </w:rPr>
              <w:t>产生的</w:t>
            </w:r>
            <w:r>
              <w:rPr>
                <w:rFonts w:hint="eastAsia"/>
                <w:color w:val="auto"/>
              </w:rPr>
              <w:t>废弃建筑材料由市政部门统一清运处置</w:t>
            </w:r>
            <w:r>
              <w:rPr>
                <w:color w:val="auto"/>
              </w:rPr>
              <w:t>。</w:t>
            </w:r>
          </w:p>
          <w:p>
            <w:pPr>
              <w:pStyle w:val="90"/>
              <w:ind w:firstLine="480"/>
              <w:rPr>
                <w:rFonts w:hAnsi="Times New Roman" w:cs="Times New Roman"/>
                <w:color w:val="auto"/>
              </w:rPr>
            </w:pPr>
            <w:r>
              <w:rPr>
                <w:color w:val="auto"/>
              </w:rPr>
              <w:t>因此本项目</w:t>
            </w:r>
            <w:r>
              <w:rPr>
                <w:rFonts w:hint="eastAsia"/>
                <w:color w:val="auto"/>
              </w:rPr>
              <w:t>施工期</w:t>
            </w:r>
            <w:r>
              <w:rPr>
                <w:color w:val="auto"/>
              </w:rPr>
              <w:t>产生固体废物对环境影响较小</w:t>
            </w:r>
            <w:r>
              <w:rPr>
                <w:rFonts w:hAnsi="Times New Roman" w:cs="Times New Roman"/>
                <w:color w:val="auto"/>
              </w:rPr>
              <w:t>。</w:t>
            </w:r>
          </w:p>
          <w:p>
            <w:pPr>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138" w:hRule="atLeast"/>
        </w:trPr>
        <w:tc>
          <w:tcPr>
            <w:tcW w:w="402" w:type="dxa"/>
            <w:tcBorders>
              <w:tl2br w:val="nil"/>
              <w:tr2bl w:val="nil"/>
            </w:tcBorders>
            <w:vAlign w:val="center"/>
          </w:tcPr>
          <w:p>
            <w:pPr>
              <w:jc w:val="center"/>
              <w:rPr>
                <w:color w:val="auto"/>
              </w:rPr>
            </w:pPr>
            <w:r>
              <w:rPr>
                <w:color w:val="auto"/>
              </w:rPr>
              <w:t>运营期环境影响和保护措施</w:t>
            </w:r>
          </w:p>
        </w:tc>
        <w:tc>
          <w:tcPr>
            <w:tcW w:w="8658" w:type="dxa"/>
            <w:tcBorders>
              <w:tl2br w:val="nil"/>
              <w:tr2bl w:val="nil"/>
            </w:tcBorders>
            <w:vAlign w:val="center"/>
          </w:tcPr>
          <w:p>
            <w:pPr>
              <w:pStyle w:val="51"/>
              <w:numPr>
                <w:ilvl w:val="0"/>
                <w:numId w:val="11"/>
              </w:numPr>
              <w:ind w:firstLine="482"/>
              <w:jc w:val="both"/>
              <w:rPr>
                <w:b/>
                <w:bCs/>
                <w:color w:val="auto"/>
              </w:rPr>
            </w:pPr>
            <w:r>
              <w:rPr>
                <w:b/>
                <w:bCs/>
                <w:color w:val="auto"/>
              </w:rPr>
              <w:t>废气</w:t>
            </w:r>
          </w:p>
          <w:p>
            <w:pPr>
              <w:adjustRightInd w:val="0"/>
              <w:snapToGrid w:val="0"/>
              <w:spacing w:line="360" w:lineRule="auto"/>
              <w:ind w:firstLine="480" w:firstLineChars="200"/>
              <w:rPr>
                <w:color w:val="auto"/>
              </w:rPr>
            </w:pPr>
            <w:r>
              <w:rPr>
                <w:rFonts w:hint="eastAsia"/>
                <w:color w:val="auto"/>
              </w:rPr>
              <w:t>本项目沥青混凝土运营期排放废气主要为原料运输及沥青料仓装卸粉尘、原料、产品堆场粉尘、冷料上料输送废气、骨料加热烘干废气、导热油炉烟气、沥青烟搅拌废气。</w:t>
            </w:r>
          </w:p>
          <w:p>
            <w:pPr>
              <w:numPr>
                <w:ilvl w:val="0"/>
                <w:numId w:val="12"/>
              </w:numPr>
              <w:adjustRightInd w:val="0"/>
              <w:snapToGrid w:val="0"/>
              <w:spacing w:line="360" w:lineRule="auto"/>
              <w:ind w:firstLine="480" w:firstLineChars="200"/>
              <w:rPr>
                <w:color w:val="auto"/>
              </w:rPr>
            </w:pPr>
            <w:r>
              <w:rPr>
                <w:rFonts w:hint="eastAsia"/>
                <w:color w:val="auto"/>
              </w:rPr>
              <w:t>源强核算</w:t>
            </w:r>
          </w:p>
          <w:p>
            <w:pPr>
              <w:adjustRightInd w:val="0"/>
              <w:snapToGrid w:val="0"/>
              <w:spacing w:line="360" w:lineRule="auto"/>
              <w:ind w:firstLine="480" w:firstLineChars="200"/>
              <w:rPr>
                <w:color w:val="auto"/>
              </w:rPr>
            </w:pPr>
            <w:r>
              <w:rPr>
                <w:rFonts w:hint="eastAsia"/>
                <w:color w:val="auto"/>
              </w:rPr>
              <w:t>①</w:t>
            </w:r>
            <w:r>
              <w:rPr>
                <w:color w:val="auto"/>
              </w:rPr>
              <w:t>原料运输产生的粉尘</w:t>
            </w:r>
          </w:p>
          <w:p>
            <w:pPr>
              <w:adjustRightInd w:val="0"/>
              <w:snapToGrid w:val="0"/>
              <w:spacing w:line="360" w:lineRule="auto"/>
              <w:ind w:firstLine="480" w:firstLineChars="200"/>
              <w:rPr>
                <w:color w:val="auto"/>
              </w:rPr>
            </w:pPr>
            <w:r>
              <w:rPr>
                <w:rFonts w:hint="eastAsia"/>
                <w:color w:val="auto"/>
              </w:rPr>
              <w:t>本项目沥青由厂家直接运送至厂区沥青罐内，原料采用封闭式罐车运入厂区，原料采用汽车运输，运输车辆全部采用苫布覆盖。运输产生的粉尘主要是</w:t>
            </w:r>
            <w:r>
              <w:rPr>
                <w:color w:val="auto"/>
              </w:rPr>
              <w:t>沿途</w:t>
            </w:r>
            <w:r>
              <w:rPr>
                <w:rFonts w:hint="eastAsia"/>
                <w:color w:val="auto"/>
                <w:lang w:eastAsia="zh-CN"/>
              </w:rPr>
              <w:t>抛撒</w:t>
            </w:r>
            <w:r>
              <w:rPr>
                <w:color w:val="auto"/>
              </w:rPr>
              <w:t>及道路行驶引起的扬尘，属于无组织排放源。由于运输过程中受多方面因素的影响，因此，原料运输过程产生的粉尘无法具体定量，本环评仅作定性分析。要求原料运输车辆采用</w:t>
            </w:r>
            <w:r>
              <w:rPr>
                <w:rFonts w:hint="eastAsia"/>
                <w:color w:val="auto"/>
              </w:rPr>
              <w:t>苫布</w:t>
            </w:r>
            <w:r>
              <w:rPr>
                <w:color w:val="auto"/>
              </w:rPr>
              <w:t>覆盖，运输过程做到不超载，不滴、撒、漏，可避免扬尘现象发生。</w:t>
            </w:r>
          </w:p>
          <w:p>
            <w:pPr>
              <w:adjustRightInd w:val="0"/>
              <w:snapToGrid w:val="0"/>
              <w:spacing w:line="360" w:lineRule="auto"/>
              <w:ind w:firstLine="480" w:firstLineChars="200"/>
              <w:rPr>
                <w:rFonts w:hint="default" w:eastAsia="宋体"/>
                <w:color w:val="auto"/>
                <w:lang w:val="en-US" w:eastAsia="zh-CN"/>
              </w:rPr>
            </w:pPr>
            <w:r>
              <w:rPr>
                <w:rFonts w:hint="eastAsia" w:ascii="宋体" w:hAnsi="宋体" w:cs="宋体"/>
                <w:color w:val="auto"/>
              </w:rPr>
              <w:t>②</w:t>
            </w:r>
            <w:r>
              <w:rPr>
                <w:rFonts w:hint="eastAsia"/>
                <w:color w:val="auto"/>
                <w:lang w:val="en-US" w:eastAsia="zh-CN"/>
              </w:rPr>
              <w:t>砂石料装卸产生的粉尘</w:t>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本项目原料外购进场卸料到</w:t>
            </w:r>
            <w:r>
              <w:rPr>
                <w:rFonts w:hint="eastAsia" w:eastAsia="宋体" w:cs="Times New Roman"/>
                <w:b w:val="0"/>
                <w:bCs/>
                <w:color w:val="auto"/>
                <w:sz w:val="24"/>
                <w:szCs w:val="24"/>
                <w:lang w:val="en-US" w:eastAsia="zh-CN"/>
              </w:rPr>
              <w:t>料仓</w:t>
            </w:r>
            <w:r>
              <w:rPr>
                <w:rFonts w:hint="default" w:ascii="Times New Roman" w:hAnsi="Times New Roman" w:eastAsia="宋体" w:cs="Times New Roman"/>
                <w:b w:val="0"/>
                <w:bCs/>
                <w:color w:val="auto"/>
                <w:sz w:val="24"/>
                <w:szCs w:val="24"/>
              </w:rPr>
              <w:t>会产生无组织粉尘。</w:t>
            </w:r>
            <w:r>
              <w:rPr>
                <w:rStyle w:val="59"/>
                <w:rFonts w:hint="default" w:ascii="Times New Roman" w:hAnsi="Times New Roman" w:eastAsia="宋体" w:cs="Times New Roman"/>
                <w:b w:val="0"/>
                <w:bCs/>
                <w:color w:val="auto"/>
                <w:sz w:val="24"/>
                <w:szCs w:val="24"/>
              </w:rPr>
              <w:t>根据《污染源源强核算技术指南 准则》（HJ884-2018）中，3.11产污系数法计算本项目</w:t>
            </w:r>
            <w:r>
              <w:rPr>
                <w:rFonts w:hint="default" w:ascii="Times New Roman" w:hAnsi="Times New Roman" w:eastAsia="宋体" w:cs="Times New Roman"/>
                <w:b w:val="0"/>
                <w:bCs/>
                <w:color w:val="auto"/>
                <w:sz w:val="24"/>
                <w:szCs w:val="24"/>
              </w:rPr>
              <w:t>卸料粉尘排放</w:t>
            </w:r>
            <w:r>
              <w:rPr>
                <w:rStyle w:val="59"/>
                <w:rFonts w:hint="default" w:ascii="Times New Roman" w:hAnsi="Times New Roman" w:eastAsia="宋体" w:cs="Times New Roman"/>
                <w:b w:val="0"/>
                <w:bCs/>
                <w:color w:val="auto"/>
                <w:sz w:val="24"/>
                <w:szCs w:val="24"/>
              </w:rPr>
              <w:t>源强。</w:t>
            </w:r>
            <w:r>
              <w:rPr>
                <w:rFonts w:hint="default" w:ascii="Times New Roman" w:hAnsi="Times New Roman" w:eastAsia="宋体" w:cs="Times New Roman"/>
                <w:b w:val="0"/>
                <w:bCs/>
                <w:color w:val="auto"/>
                <w:sz w:val="24"/>
                <w:szCs w:val="24"/>
              </w:rPr>
              <w:t>根据《扬尘源颗粒物排放清单编制技术指南（试行）》中装卸、运输物料过程扬尘排放系数的估算：</w:t>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jc w:val="center"/>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drawing>
                <wp:inline distT="0" distB="0" distL="114300" distR="114300">
                  <wp:extent cx="2800350" cy="8096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9"/>
                          <a:stretch>
                            <a:fillRect/>
                          </a:stretch>
                        </pic:blipFill>
                        <pic:spPr>
                          <a:xfrm>
                            <a:off x="0" y="0"/>
                            <a:ext cx="2800350" cy="809625"/>
                          </a:xfrm>
                          <a:prstGeom prst="rect">
                            <a:avLst/>
                          </a:prstGeom>
                          <a:noFill/>
                          <a:ln>
                            <a:noFill/>
                          </a:ln>
                        </pic:spPr>
                      </pic:pic>
                    </a:graphicData>
                  </a:graphic>
                </wp:inline>
              </w:drawing>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式中：Eh：堆场装卸扬尘的排放系数，kg/t；</w:t>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ki：物料的粒度乘数，根据《扬尘源颗粒物排放清单编制技术指南（试行）》中表10，TSP取0.74；</w:t>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u：地面平均风速，m/s，</w:t>
            </w:r>
            <w:r>
              <w:rPr>
                <w:rFonts w:hint="eastAsia" w:eastAsia="宋体" w:cs="Times New Roman"/>
                <w:b w:val="0"/>
                <w:bCs/>
                <w:color w:val="auto"/>
                <w:sz w:val="24"/>
                <w:szCs w:val="24"/>
                <w:lang w:val="en-US" w:eastAsia="zh-CN"/>
              </w:rPr>
              <w:t>封闭仓储，取</w:t>
            </w:r>
            <w:r>
              <w:rPr>
                <w:rFonts w:hint="default" w:ascii="Times New Roman" w:hAnsi="Times New Roman" w:eastAsia="宋体" w:cs="Times New Roman"/>
                <w:b w:val="0"/>
                <w:bCs/>
                <w:color w:val="auto"/>
                <w:sz w:val="24"/>
                <w:szCs w:val="24"/>
              </w:rPr>
              <w:t>风速</w:t>
            </w:r>
            <w:r>
              <w:rPr>
                <w:rFonts w:hint="eastAsia" w:eastAsia="宋体" w:cs="Times New Roman"/>
                <w:b w:val="0"/>
                <w:bCs/>
                <w:color w:val="auto"/>
                <w:sz w:val="24"/>
                <w:szCs w:val="24"/>
                <w:lang w:val="en-US" w:eastAsia="zh-CN"/>
              </w:rPr>
              <w:t>0.2</w:t>
            </w:r>
            <w:r>
              <w:rPr>
                <w:rFonts w:hint="default" w:ascii="Times New Roman" w:hAnsi="Times New Roman" w:eastAsia="宋体" w:cs="Times New Roman"/>
                <w:b w:val="0"/>
                <w:bCs/>
                <w:color w:val="auto"/>
                <w:sz w:val="24"/>
                <w:szCs w:val="24"/>
              </w:rPr>
              <w:t>m/s；</w:t>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M：物料含水率，%。取</w:t>
            </w:r>
            <w:r>
              <w:rPr>
                <w:rFonts w:hint="eastAsia"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w:t>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η：污染控制技术对扬尘的去除效率，%。根据《扬尘源颗粒物排放清单编制技术指南（试行）》中表12，TSP控制效率为90%。</w:t>
            </w:r>
          </w:p>
          <w:p>
            <w:pPr>
              <w:pStyle w:val="10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2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w:t>
            </w:r>
            <w:r>
              <w:rPr>
                <w:rFonts w:hint="eastAsia" w:ascii="Times New Roman" w:hAnsi="Times New Roman" w:eastAsia="宋体" w:cs="Times New Roman"/>
                <w:b w:val="0"/>
                <w:bCs/>
                <w:color w:val="auto"/>
                <w:sz w:val="24"/>
                <w:szCs w:val="24"/>
                <w:lang w:val="en-US" w:eastAsia="zh-CN"/>
              </w:rPr>
              <w:t>砂石料装</w:t>
            </w:r>
            <w:r>
              <w:rPr>
                <w:rFonts w:hint="default" w:ascii="Times New Roman" w:hAnsi="Times New Roman" w:eastAsia="宋体" w:cs="Times New Roman"/>
                <w:b w:val="0"/>
                <w:bCs/>
                <w:color w:val="auto"/>
                <w:sz w:val="24"/>
                <w:szCs w:val="24"/>
              </w:rPr>
              <w:t>卸料共计</w:t>
            </w:r>
            <w:r>
              <w:rPr>
                <w:rFonts w:hint="eastAsia" w:ascii="Times New Roman" w:hAnsi="Times New Roman" w:eastAsia="宋体" w:cs="Times New Roman"/>
                <w:b w:val="0"/>
                <w:bCs/>
                <w:color w:val="auto"/>
                <w:sz w:val="24"/>
                <w:szCs w:val="24"/>
                <w:lang w:val="en-US" w:eastAsia="zh-CN"/>
              </w:rPr>
              <w:t>141442</w:t>
            </w:r>
            <w:r>
              <w:rPr>
                <w:rFonts w:hint="default" w:ascii="Times New Roman" w:hAnsi="Times New Roman" w:eastAsia="宋体" w:cs="Times New Roman"/>
                <w:b w:val="0"/>
                <w:bCs/>
                <w:color w:val="auto"/>
                <w:sz w:val="24"/>
                <w:szCs w:val="24"/>
              </w:rPr>
              <w:t>吨每年，经计算本项目物料装卸粉尘产生量为</w:t>
            </w:r>
            <w:r>
              <w:rPr>
                <w:rFonts w:hint="eastAsia" w:eastAsia="宋体" w:cs="Times New Roman"/>
                <w:b w:val="0"/>
                <w:bCs/>
                <w:color w:val="auto"/>
                <w:sz w:val="24"/>
                <w:szCs w:val="24"/>
                <w:lang w:val="en-US" w:eastAsia="zh-CN"/>
              </w:rPr>
              <w:t>0.007</w:t>
            </w:r>
            <w:r>
              <w:rPr>
                <w:rFonts w:hint="default" w:ascii="Times New Roman" w:hAnsi="Times New Roman" w:eastAsia="宋体" w:cs="Times New Roman"/>
                <w:b w:val="0"/>
                <w:bCs/>
                <w:color w:val="auto"/>
                <w:sz w:val="24"/>
                <w:szCs w:val="24"/>
              </w:rPr>
              <w:t>t/a，</w:t>
            </w:r>
            <w:r>
              <w:rPr>
                <w:rFonts w:hint="eastAsia" w:eastAsia="宋体" w:cs="Times New Roman"/>
                <w:b w:val="0"/>
                <w:bCs/>
                <w:color w:val="auto"/>
                <w:sz w:val="24"/>
                <w:szCs w:val="24"/>
                <w:lang w:val="en-US" w:eastAsia="zh-CN"/>
              </w:rPr>
              <w:t>0.003</w:t>
            </w:r>
            <w:r>
              <w:rPr>
                <w:rFonts w:hint="default" w:ascii="Times New Roman" w:hAnsi="Times New Roman" w:eastAsia="宋体" w:cs="Times New Roman"/>
                <w:b w:val="0"/>
                <w:bCs/>
                <w:color w:val="auto"/>
                <w:sz w:val="24"/>
                <w:szCs w:val="24"/>
              </w:rPr>
              <w:t>kg/h，排放量为0.0</w:t>
            </w:r>
            <w:r>
              <w:rPr>
                <w:rFonts w:hint="eastAsia" w:eastAsia="宋体" w:cs="Times New Roman"/>
                <w:b w:val="0"/>
                <w:bCs/>
                <w:color w:val="auto"/>
                <w:sz w:val="24"/>
                <w:szCs w:val="24"/>
                <w:lang w:val="en-US" w:eastAsia="zh-CN"/>
              </w:rPr>
              <w:t>007</w:t>
            </w:r>
            <w:r>
              <w:rPr>
                <w:rFonts w:hint="default" w:ascii="Times New Roman" w:hAnsi="Times New Roman" w:eastAsia="宋体" w:cs="Times New Roman"/>
                <w:b w:val="0"/>
                <w:bCs/>
                <w:color w:val="auto"/>
                <w:sz w:val="24"/>
                <w:szCs w:val="24"/>
              </w:rPr>
              <w:t>t/a，0.0</w:t>
            </w:r>
            <w:r>
              <w:rPr>
                <w:rFonts w:hint="eastAsia" w:eastAsia="宋体" w:cs="Times New Roman"/>
                <w:b w:val="0"/>
                <w:bCs/>
                <w:color w:val="auto"/>
                <w:sz w:val="24"/>
                <w:szCs w:val="24"/>
                <w:lang w:val="en-US" w:eastAsia="zh-CN"/>
              </w:rPr>
              <w:t>003</w:t>
            </w:r>
            <w:r>
              <w:rPr>
                <w:rFonts w:hint="default" w:ascii="Times New Roman" w:hAnsi="Times New Roman" w:eastAsia="宋体" w:cs="Times New Roman"/>
                <w:b w:val="0"/>
                <w:bCs/>
                <w:color w:val="auto"/>
                <w:sz w:val="24"/>
                <w:szCs w:val="24"/>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③冷料上料和输送粉尘</w:t>
            </w:r>
          </w:p>
          <w:p>
            <w:pPr>
              <w:adjustRightInd w:val="0"/>
              <w:snapToGrid w:val="0"/>
              <w:spacing w:line="360" w:lineRule="auto"/>
              <w:ind w:firstLine="480" w:firstLineChars="200"/>
              <w:rPr>
                <w:color w:val="auto"/>
              </w:rPr>
            </w:pPr>
            <w:r>
              <w:rPr>
                <w:rFonts w:hint="eastAsia"/>
                <w:color w:val="auto"/>
              </w:rPr>
              <w:t>冷料通过铲车、封闭皮带输送至烘干筒，</w:t>
            </w:r>
            <w:r>
              <w:rPr>
                <w:rFonts w:hint="eastAsia"/>
                <w:color w:val="auto"/>
                <w:lang w:val="en-US" w:eastAsia="zh-CN"/>
              </w:rPr>
              <w:t>该</w:t>
            </w:r>
            <w:r>
              <w:rPr>
                <w:rFonts w:hint="eastAsia"/>
                <w:color w:val="auto"/>
              </w:rPr>
              <w:t>过程</w:t>
            </w:r>
            <w:r>
              <w:rPr>
                <w:rFonts w:hint="eastAsia"/>
                <w:color w:val="auto"/>
                <w:lang w:eastAsia="zh-CN"/>
              </w:rPr>
              <w:t>，</w:t>
            </w:r>
            <w:r>
              <w:rPr>
                <w:rFonts w:hint="eastAsia"/>
                <w:color w:val="auto"/>
                <w:lang w:val="en-US" w:eastAsia="zh-CN"/>
              </w:rPr>
              <w:t>为密闭输送，</w:t>
            </w:r>
            <w:r>
              <w:rPr>
                <w:rFonts w:hint="eastAsia"/>
                <w:color w:val="auto"/>
              </w:rPr>
              <w:t>由于上料过程中皮带输送机速度较慢（输送速度&lt;0.1m/s），且原料置于料斗内，基本不受外界风力影响，</w:t>
            </w:r>
            <w:r>
              <w:rPr>
                <w:rFonts w:hint="eastAsia"/>
                <w:color w:val="auto"/>
                <w:lang w:val="en-US" w:eastAsia="zh-CN"/>
              </w:rPr>
              <w:t>因此不做定量分析</w:t>
            </w:r>
            <w:r>
              <w:rPr>
                <w:rFonts w:hint="eastAsia"/>
                <w:color w:val="auto"/>
              </w:rPr>
              <w:t>。</w:t>
            </w:r>
          </w:p>
          <w:p>
            <w:pPr>
              <w:adjustRightInd w:val="0"/>
              <w:snapToGrid w:val="0"/>
              <w:spacing w:line="360" w:lineRule="auto"/>
              <w:ind w:firstLine="480" w:firstLineChars="200"/>
              <w:rPr>
                <w:color w:val="auto"/>
              </w:rPr>
            </w:pPr>
            <w:r>
              <w:rPr>
                <w:rFonts w:hint="eastAsia" w:ascii="宋体" w:hAnsi="宋体" w:cs="宋体"/>
                <w:color w:val="auto"/>
              </w:rPr>
              <w:t>④骨料烘干工序废气</w:t>
            </w:r>
          </w:p>
          <w:p>
            <w:pPr>
              <w:adjustRightInd w:val="0"/>
              <w:snapToGrid w:val="0"/>
              <w:spacing w:line="360" w:lineRule="auto"/>
              <w:ind w:firstLine="480" w:firstLineChars="200"/>
              <w:rPr>
                <w:color w:val="auto"/>
              </w:rPr>
            </w:pPr>
            <w:r>
              <w:rPr>
                <w:rFonts w:hint="eastAsia"/>
                <w:color w:val="auto"/>
              </w:rPr>
              <w:t>沥青混凝土用石料配置骨料，在骨料烘干过程中，会产生一定量的粉尘。参照《散逸性工业粉尘控制技术》中“沥青混凝土制造厂逸散尘排放因子”，骨料烘干和振动筛分产生的粉尘为0.25kg/t物料，本项目</w:t>
            </w:r>
            <w:r>
              <w:rPr>
                <w:rFonts w:hint="eastAsia"/>
                <w:color w:val="auto"/>
                <w:lang w:val="en-US" w:eastAsia="zh-CN"/>
              </w:rPr>
              <w:t>砂石</w:t>
            </w:r>
            <w:r>
              <w:rPr>
                <w:rFonts w:hint="eastAsia"/>
                <w:color w:val="auto"/>
              </w:rPr>
              <w:t>用量为</w:t>
            </w:r>
            <w:r>
              <w:rPr>
                <w:rFonts w:hint="eastAsia"/>
                <w:color w:val="auto"/>
                <w:lang w:val="en-US" w:eastAsia="zh-CN"/>
              </w:rPr>
              <w:t>141442</w:t>
            </w:r>
            <w:r>
              <w:rPr>
                <w:rFonts w:hint="eastAsia"/>
                <w:color w:val="auto"/>
              </w:rPr>
              <w:t>t，则烘干工序产生的粉尘</w:t>
            </w:r>
            <w:r>
              <w:rPr>
                <w:rFonts w:hint="eastAsia"/>
                <w:color w:val="auto"/>
                <w:lang w:val="en-US" w:eastAsia="zh-CN"/>
              </w:rPr>
              <w:t>35.361</w:t>
            </w:r>
            <w:r>
              <w:rPr>
                <w:rFonts w:hint="eastAsia"/>
                <w:color w:val="auto"/>
              </w:rPr>
              <w:t>t/a，</w:t>
            </w:r>
            <w:r>
              <w:rPr>
                <w:rFonts w:hint="eastAsia"/>
                <w:color w:val="auto"/>
                <w:lang w:val="en-US" w:eastAsia="zh-CN"/>
              </w:rPr>
              <w:t>36.834</w:t>
            </w:r>
            <w:r>
              <w:rPr>
                <w:rFonts w:hint="eastAsia"/>
                <w:color w:val="auto"/>
              </w:rPr>
              <w:t>kg/h</w:t>
            </w:r>
            <w:r>
              <w:rPr>
                <w:rFonts w:hint="eastAsia"/>
                <w:color w:val="auto"/>
                <w:lang w:eastAsia="zh-CN"/>
              </w:rPr>
              <w:t>，</w:t>
            </w:r>
            <w:r>
              <w:rPr>
                <w:rFonts w:hint="eastAsia"/>
                <w:color w:val="auto"/>
                <w:lang w:val="en-US" w:eastAsia="zh-CN"/>
              </w:rPr>
              <w:t>3683.4mg/m</w:t>
            </w:r>
            <w:r>
              <w:rPr>
                <w:rFonts w:hint="eastAsia"/>
                <w:color w:val="auto"/>
                <w:vertAlign w:val="superscript"/>
                <w:lang w:val="en-US" w:eastAsia="zh-CN"/>
              </w:rPr>
              <w:t>3</w:t>
            </w:r>
            <w:r>
              <w:rPr>
                <w:rFonts w:hint="eastAsia"/>
                <w:color w:val="auto"/>
              </w:rPr>
              <w:t>。</w:t>
            </w:r>
            <w:r>
              <w:rPr>
                <w:rFonts w:hint="eastAsia"/>
                <w:color w:val="auto"/>
                <w:lang w:val="en-US" w:eastAsia="zh-CN"/>
              </w:rPr>
              <w:t>风机风量为10000m</w:t>
            </w:r>
            <w:r>
              <w:rPr>
                <w:rFonts w:hint="eastAsia"/>
                <w:color w:val="auto"/>
                <w:vertAlign w:val="superscript"/>
                <w:lang w:val="en-US" w:eastAsia="zh-CN"/>
              </w:rPr>
              <w:t>3</w:t>
            </w:r>
            <w:r>
              <w:rPr>
                <w:rFonts w:hint="eastAsia"/>
                <w:color w:val="auto"/>
                <w:lang w:val="en-US" w:eastAsia="zh-CN"/>
              </w:rPr>
              <w:t>/h，</w:t>
            </w:r>
            <w:r>
              <w:rPr>
                <w:rFonts w:hint="eastAsia"/>
                <w:color w:val="auto"/>
              </w:rPr>
              <w:t>烘干滚筒在运行过程中处于密闭状态，粉尘经</w:t>
            </w:r>
            <w:r>
              <w:rPr>
                <w:rFonts w:hint="eastAsia"/>
                <w:color w:val="auto"/>
                <w:lang w:val="en-US" w:eastAsia="zh-CN"/>
              </w:rPr>
              <w:t>旋风+</w:t>
            </w:r>
            <w:r>
              <w:rPr>
                <w:rFonts w:hint="eastAsia"/>
                <w:color w:val="auto"/>
              </w:rPr>
              <w:t>布袋除尘装置（效率99%）处理后通过</w:t>
            </w:r>
            <w:r>
              <w:rPr>
                <w:rFonts w:hint="eastAsia"/>
                <w:color w:val="auto"/>
                <w:lang w:val="en-US" w:eastAsia="zh-CN"/>
              </w:rPr>
              <w:t>15</w:t>
            </w:r>
            <w:r>
              <w:rPr>
                <w:rFonts w:hint="eastAsia"/>
                <w:color w:val="auto"/>
              </w:rPr>
              <w:t>m高排气筒（DA001）排放。则处理后粉尘的排放量为</w:t>
            </w:r>
            <w:r>
              <w:rPr>
                <w:rFonts w:hint="eastAsia"/>
                <w:color w:val="auto"/>
                <w:lang w:val="en-US" w:eastAsia="zh-CN"/>
              </w:rPr>
              <w:t>0.354</w:t>
            </w:r>
            <w:r>
              <w:rPr>
                <w:rFonts w:hint="eastAsia"/>
                <w:color w:val="auto"/>
              </w:rPr>
              <w:t>t/a，0.</w:t>
            </w:r>
            <w:r>
              <w:rPr>
                <w:rFonts w:hint="eastAsia"/>
                <w:color w:val="auto"/>
                <w:lang w:val="en-US" w:eastAsia="zh-CN"/>
              </w:rPr>
              <w:t>368</w:t>
            </w:r>
            <w:r>
              <w:rPr>
                <w:rFonts w:hint="eastAsia"/>
                <w:color w:val="auto"/>
              </w:rPr>
              <w:t>kg/h，</w:t>
            </w:r>
            <w:r>
              <w:rPr>
                <w:rFonts w:hint="eastAsia"/>
                <w:color w:val="auto"/>
                <w:lang w:val="en-US" w:eastAsia="zh-CN"/>
              </w:rPr>
              <w:t>36.83</w:t>
            </w:r>
            <w:r>
              <w:rPr>
                <w:rFonts w:hint="eastAsia"/>
                <w:color w:val="auto"/>
              </w:rPr>
              <w:t>mg/m</w:t>
            </w:r>
            <w:r>
              <w:rPr>
                <w:rFonts w:hint="eastAsia"/>
                <w:color w:val="auto"/>
                <w:vertAlign w:val="superscript"/>
              </w:rPr>
              <w:t>3</w:t>
            </w:r>
            <w:r>
              <w:rPr>
                <w:rFonts w:hint="eastAsia"/>
                <w:color w:val="auto"/>
              </w:rPr>
              <w:t>。</w:t>
            </w:r>
          </w:p>
          <w:p>
            <w:pPr>
              <w:adjustRightInd w:val="0"/>
              <w:snapToGrid w:val="0"/>
              <w:spacing w:line="360" w:lineRule="auto"/>
              <w:ind w:firstLine="480" w:firstLineChars="200"/>
              <w:rPr>
                <w:color w:val="auto"/>
              </w:rPr>
            </w:pPr>
            <w:r>
              <w:rPr>
                <w:rFonts w:hint="eastAsia"/>
                <w:color w:val="auto"/>
              </w:rPr>
              <w:t>骨料燃烧器燃烧废气：</w:t>
            </w:r>
          </w:p>
          <w:p>
            <w:pPr>
              <w:adjustRightInd w:val="0"/>
              <w:snapToGrid w:val="0"/>
              <w:spacing w:line="360" w:lineRule="auto"/>
              <w:ind w:firstLine="480" w:firstLineChars="200"/>
              <w:rPr>
                <w:color w:val="auto"/>
                <w:vertAlign w:val="subscript"/>
              </w:rPr>
            </w:pPr>
            <w:r>
              <w:rPr>
                <w:rFonts w:hint="eastAsia"/>
                <w:color w:val="auto"/>
              </w:rPr>
              <w:t>烘干工序中干燥滚筒加热热源为配套的燃气燃烧器，燃料为</w:t>
            </w:r>
            <w:r>
              <w:rPr>
                <w:rFonts w:hint="eastAsia"/>
                <w:color w:val="auto"/>
                <w:lang w:val="en-US" w:eastAsia="zh-CN"/>
              </w:rPr>
              <w:t>柴油</w:t>
            </w:r>
            <w:r>
              <w:rPr>
                <w:rFonts w:hint="eastAsia"/>
                <w:color w:val="auto"/>
              </w:rPr>
              <w:t>，燃烧后产生颗粒物、SO</w:t>
            </w:r>
            <w:r>
              <w:rPr>
                <w:rFonts w:hint="eastAsia"/>
                <w:color w:val="auto"/>
                <w:vertAlign w:val="subscript"/>
              </w:rPr>
              <w:t>2</w:t>
            </w:r>
            <w:r>
              <w:rPr>
                <w:rFonts w:hint="eastAsia"/>
                <w:color w:val="auto"/>
              </w:rPr>
              <w:t>及NO</w:t>
            </w:r>
            <w:r>
              <w:rPr>
                <w:rFonts w:hint="eastAsia"/>
                <w:color w:val="auto"/>
                <w:vertAlign w:val="subscript"/>
              </w:rPr>
              <w:t>X</w:t>
            </w:r>
            <w:r>
              <w:rPr>
                <w:rFonts w:hint="eastAsia"/>
                <w:color w:val="auto"/>
              </w:rPr>
              <w:t>。</w:t>
            </w:r>
          </w:p>
          <w:p>
            <w:pPr>
              <w:adjustRightInd w:val="0"/>
              <w:snapToGrid w:val="0"/>
              <w:spacing w:line="360" w:lineRule="auto"/>
              <w:ind w:firstLine="480" w:firstLineChars="200"/>
              <w:rPr>
                <w:color w:val="auto"/>
              </w:rPr>
            </w:pPr>
            <w:r>
              <w:rPr>
                <w:rFonts w:hint="eastAsia"/>
                <w:color w:val="auto"/>
              </w:rPr>
              <w:t>燃烧器燃气消耗量：</w:t>
            </w:r>
          </w:p>
          <w:p>
            <w:pPr>
              <w:adjustRightInd w:val="0"/>
              <w:snapToGrid w:val="0"/>
              <w:spacing w:line="360" w:lineRule="auto"/>
              <w:ind w:firstLine="480" w:firstLineChars="200"/>
              <w:rPr>
                <w:color w:val="auto"/>
              </w:rPr>
            </w:pPr>
            <w:r>
              <w:rPr>
                <w:rFonts w:hint="eastAsia"/>
                <w:color w:val="auto"/>
              </w:rPr>
              <w:t>a烟气量</w:t>
            </w:r>
          </w:p>
          <w:p>
            <w:pPr>
              <w:adjustRightInd w:val="0"/>
              <w:snapToGrid w:val="0"/>
              <w:spacing w:line="360" w:lineRule="auto"/>
              <w:ind w:firstLine="480" w:firstLineChars="200"/>
              <w:rPr>
                <w:rFonts w:hint="eastAsia" w:eastAsia="宋体"/>
                <w:color w:val="auto"/>
                <w:sz w:val="24"/>
                <w:szCs w:val="24"/>
                <w:lang w:val="en-US" w:eastAsia="zh-CN"/>
              </w:rPr>
            </w:pPr>
            <w:r>
              <w:rPr>
                <w:rFonts w:hint="default" w:ascii="Times New Roman" w:hAnsi="Times New Roman"/>
                <w:snapToGrid w:val="0"/>
                <w:color w:val="auto"/>
                <w:kern w:val="2"/>
                <w:sz w:val="24"/>
                <w:szCs w:val="24"/>
              </w:rPr>
              <w:t>骨料加热采用</w:t>
            </w:r>
            <w:r>
              <w:rPr>
                <w:rFonts w:hint="eastAsia"/>
                <w:snapToGrid w:val="0"/>
                <w:color w:val="auto"/>
                <w:kern w:val="2"/>
                <w:sz w:val="24"/>
                <w:szCs w:val="24"/>
                <w:lang w:val="en-US" w:eastAsia="zh-CN"/>
              </w:rPr>
              <w:t>柴油</w:t>
            </w:r>
            <w:r>
              <w:rPr>
                <w:rFonts w:hint="default" w:ascii="Times New Roman" w:hAnsi="Times New Roman"/>
                <w:snapToGrid w:val="0"/>
                <w:color w:val="auto"/>
                <w:kern w:val="2"/>
                <w:sz w:val="24"/>
                <w:szCs w:val="24"/>
              </w:rPr>
              <w:t>为燃料，</w:t>
            </w:r>
            <w:r>
              <w:rPr>
                <w:rFonts w:hint="default" w:ascii="Times New Roman" w:hAnsi="Times New Roman"/>
                <w:bCs/>
                <w:color w:val="auto"/>
                <w:sz w:val="24"/>
                <w:szCs w:val="24"/>
              </w:rPr>
              <w:t>水的比热容为4.2×10</w:t>
            </w:r>
            <w:r>
              <w:rPr>
                <w:rFonts w:hint="default" w:ascii="Times New Roman" w:hAnsi="Times New Roman"/>
                <w:bCs/>
                <w:color w:val="auto"/>
                <w:sz w:val="24"/>
                <w:szCs w:val="24"/>
                <w:vertAlign w:val="superscript"/>
              </w:rPr>
              <w:t>3</w:t>
            </w:r>
            <w:r>
              <w:rPr>
                <w:rFonts w:hint="default" w:ascii="Times New Roman" w:hAnsi="Times New Roman"/>
                <w:bCs/>
                <w:color w:val="auto"/>
                <w:sz w:val="24"/>
                <w:szCs w:val="24"/>
              </w:rPr>
              <w:t>J/（kg•℃），本项目骨料烘干后含水率下降约2%，则烘干1吨骨料（水从室温20℃加热至100℃）所用的热量为</w:t>
            </w:r>
            <w:r>
              <w:rPr>
                <w:rFonts w:hint="eastAsia" w:ascii="Times New Roman" w:hAnsi="Times New Roman"/>
                <w:bCs/>
                <w:color w:val="auto"/>
                <w:sz w:val="24"/>
                <w:szCs w:val="24"/>
                <w:lang w:val="en-US" w:eastAsia="zh-CN"/>
              </w:rPr>
              <w:t>6.72</w:t>
            </w:r>
            <w:r>
              <w:rPr>
                <w:rFonts w:hint="default" w:ascii="Times New Roman" w:hAnsi="Times New Roman"/>
                <w:bCs/>
                <w:color w:val="auto"/>
                <w:sz w:val="24"/>
                <w:szCs w:val="24"/>
              </w:rPr>
              <w:t>MJ，</w:t>
            </w:r>
            <w:r>
              <w:rPr>
                <w:rFonts w:hint="eastAsia"/>
                <w:bCs/>
                <w:color w:val="auto"/>
                <w:sz w:val="24"/>
                <w:szCs w:val="24"/>
                <w:lang w:val="en-US" w:eastAsia="zh-CN"/>
              </w:rPr>
              <w:t>轻质柴油</w:t>
            </w:r>
            <w:r>
              <w:rPr>
                <w:rFonts w:hint="default" w:ascii="Times New Roman" w:hAnsi="Times New Roman"/>
                <w:bCs/>
                <w:color w:val="auto"/>
                <w:sz w:val="24"/>
                <w:szCs w:val="24"/>
              </w:rPr>
              <w:t>低位发热量为</w:t>
            </w:r>
            <w:r>
              <w:rPr>
                <w:rFonts w:hint="eastAsia"/>
                <w:bCs/>
                <w:color w:val="auto"/>
                <w:sz w:val="24"/>
                <w:szCs w:val="24"/>
                <w:lang w:val="en-US" w:eastAsia="zh-CN"/>
              </w:rPr>
              <w:t>42.7</w:t>
            </w:r>
            <w:r>
              <w:rPr>
                <w:rFonts w:hint="eastAsia" w:ascii="Times New Roman" w:hAnsi="Times New Roman"/>
                <w:bCs/>
                <w:color w:val="auto"/>
                <w:sz w:val="24"/>
                <w:szCs w:val="24"/>
                <w:lang w:val="en-US" w:eastAsia="zh-CN"/>
              </w:rPr>
              <w:t>M</w:t>
            </w:r>
            <w:r>
              <w:rPr>
                <w:rFonts w:hint="default" w:ascii="Times New Roman" w:hAnsi="Times New Roman"/>
                <w:bCs/>
                <w:color w:val="auto"/>
                <w:sz w:val="24"/>
                <w:szCs w:val="24"/>
              </w:rPr>
              <w:t>J/</w:t>
            </w:r>
            <w:r>
              <w:rPr>
                <w:rFonts w:hint="eastAsia"/>
                <w:bCs/>
                <w:color w:val="auto"/>
                <w:sz w:val="24"/>
                <w:szCs w:val="24"/>
                <w:lang w:val="en-US" w:eastAsia="zh-CN"/>
              </w:rPr>
              <w:t>kg</w:t>
            </w:r>
            <w:r>
              <w:rPr>
                <w:rFonts w:hint="default" w:ascii="Times New Roman" w:hAnsi="Times New Roman"/>
                <w:bCs/>
                <w:color w:val="auto"/>
                <w:sz w:val="24"/>
                <w:szCs w:val="24"/>
              </w:rPr>
              <w:t>，本项目烘干骨料</w:t>
            </w:r>
            <w:r>
              <w:rPr>
                <w:rFonts w:hint="eastAsia" w:ascii="Times New Roman" w:hAnsi="Times New Roman"/>
                <w:bCs/>
                <w:color w:val="auto"/>
                <w:sz w:val="24"/>
                <w:szCs w:val="24"/>
                <w:lang w:val="en-US" w:eastAsia="zh-CN"/>
              </w:rPr>
              <w:t>141442</w:t>
            </w:r>
            <w:r>
              <w:rPr>
                <w:rFonts w:hint="default" w:ascii="Times New Roman" w:hAnsi="Times New Roman"/>
                <w:bCs/>
                <w:color w:val="auto"/>
                <w:sz w:val="24"/>
                <w:szCs w:val="24"/>
              </w:rPr>
              <w:t>t/a，热效率取85%，则本项目燃烧器所需热量为</w:t>
            </w:r>
            <w:r>
              <w:rPr>
                <w:rFonts w:hint="eastAsia" w:ascii="Times New Roman" w:hAnsi="Times New Roman"/>
                <w:bCs/>
                <w:color w:val="auto"/>
                <w:sz w:val="24"/>
                <w:szCs w:val="24"/>
                <w:lang w:val="en-US" w:eastAsia="zh-CN"/>
              </w:rPr>
              <w:t>141442</w:t>
            </w:r>
            <w:r>
              <w:rPr>
                <w:rFonts w:hint="default" w:ascii="Times New Roman" w:hAnsi="Times New Roman"/>
                <w:bCs/>
                <w:color w:val="auto"/>
                <w:sz w:val="24"/>
                <w:szCs w:val="24"/>
              </w:rPr>
              <w:t>t/a×</w:t>
            </w:r>
            <w:r>
              <w:rPr>
                <w:rFonts w:hint="eastAsia" w:ascii="Times New Roman" w:hAnsi="Times New Roman"/>
                <w:bCs/>
                <w:color w:val="auto"/>
                <w:sz w:val="24"/>
                <w:szCs w:val="24"/>
                <w:lang w:val="en-US" w:eastAsia="zh-CN"/>
              </w:rPr>
              <w:t>6.72</w:t>
            </w:r>
            <w:r>
              <w:rPr>
                <w:rFonts w:hint="default" w:ascii="Times New Roman" w:hAnsi="Times New Roman"/>
                <w:bCs/>
                <w:color w:val="auto"/>
                <w:sz w:val="24"/>
                <w:szCs w:val="24"/>
              </w:rPr>
              <w:t>MJ/0.85=</w:t>
            </w:r>
            <w:r>
              <w:rPr>
                <w:rFonts w:hint="eastAsia" w:ascii="Times New Roman" w:hAnsi="Times New Roman"/>
                <w:bCs/>
                <w:color w:val="auto"/>
                <w:sz w:val="24"/>
                <w:szCs w:val="24"/>
                <w:lang w:val="en-US" w:eastAsia="zh-CN"/>
              </w:rPr>
              <w:t>1118224</w:t>
            </w:r>
            <w:r>
              <w:rPr>
                <w:rFonts w:hint="default" w:ascii="Times New Roman" w:hAnsi="Times New Roman"/>
                <w:bCs/>
                <w:color w:val="auto"/>
                <w:sz w:val="24"/>
                <w:szCs w:val="24"/>
              </w:rPr>
              <w:t>MJ，</w:t>
            </w:r>
            <w:r>
              <w:rPr>
                <w:rFonts w:hint="eastAsia"/>
                <w:bCs/>
                <w:color w:val="auto"/>
                <w:sz w:val="24"/>
                <w:szCs w:val="24"/>
                <w:lang w:val="en-US" w:eastAsia="zh-CN"/>
              </w:rPr>
              <w:t>柴油</w:t>
            </w:r>
            <w:r>
              <w:rPr>
                <w:rFonts w:hint="default" w:ascii="Times New Roman" w:hAnsi="Times New Roman"/>
                <w:bCs/>
                <w:color w:val="auto"/>
                <w:sz w:val="24"/>
                <w:szCs w:val="24"/>
              </w:rPr>
              <w:t>燃料需要量=</w:t>
            </w:r>
            <w:r>
              <w:rPr>
                <w:rFonts w:hint="eastAsia"/>
                <w:bCs/>
                <w:color w:val="auto"/>
                <w:sz w:val="24"/>
                <w:szCs w:val="24"/>
                <w:lang w:val="en-US" w:eastAsia="zh-CN"/>
              </w:rPr>
              <w:t>柴油</w:t>
            </w:r>
            <w:r>
              <w:rPr>
                <w:rFonts w:hint="default" w:ascii="Times New Roman" w:hAnsi="Times New Roman"/>
                <w:color w:val="auto"/>
                <w:sz w:val="24"/>
                <w:szCs w:val="24"/>
              </w:rPr>
              <w:t>产生热量/</w:t>
            </w:r>
            <w:r>
              <w:rPr>
                <w:rFonts w:hint="eastAsia"/>
                <w:color w:val="auto"/>
                <w:sz w:val="24"/>
                <w:szCs w:val="24"/>
                <w:lang w:val="en-US" w:eastAsia="zh-CN"/>
              </w:rPr>
              <w:t>柴油</w:t>
            </w:r>
            <w:r>
              <w:rPr>
                <w:rFonts w:hint="default" w:ascii="Times New Roman" w:hAnsi="Times New Roman"/>
                <w:color w:val="auto"/>
                <w:sz w:val="24"/>
                <w:szCs w:val="24"/>
              </w:rPr>
              <w:t>热值=</w:t>
            </w:r>
            <w:r>
              <w:rPr>
                <w:rFonts w:hint="eastAsia" w:ascii="Times New Roman" w:hAnsi="Times New Roman"/>
                <w:color w:val="auto"/>
                <w:sz w:val="24"/>
                <w:szCs w:val="24"/>
                <w:lang w:val="en-US" w:eastAsia="zh-CN"/>
              </w:rPr>
              <w:t>1118224</w:t>
            </w:r>
            <w:r>
              <w:rPr>
                <w:rFonts w:hint="default" w:ascii="Times New Roman" w:hAnsi="Times New Roman"/>
                <w:color w:val="auto"/>
                <w:sz w:val="24"/>
                <w:szCs w:val="24"/>
              </w:rPr>
              <w:t>MJ/</w:t>
            </w:r>
            <w:r>
              <w:rPr>
                <w:rFonts w:hint="eastAsia"/>
                <w:color w:val="auto"/>
                <w:sz w:val="24"/>
                <w:szCs w:val="24"/>
                <w:lang w:val="en-US" w:eastAsia="zh-CN"/>
              </w:rPr>
              <w:t>42.7</w:t>
            </w:r>
            <w:r>
              <w:rPr>
                <w:rFonts w:hint="default" w:ascii="Times New Roman" w:hAnsi="Times New Roman"/>
                <w:color w:val="auto"/>
                <w:sz w:val="24"/>
                <w:szCs w:val="24"/>
              </w:rPr>
              <w:t>MJ/</w:t>
            </w:r>
            <w:r>
              <w:rPr>
                <w:rFonts w:hint="eastAsia"/>
                <w:bCs/>
                <w:color w:val="auto"/>
                <w:sz w:val="24"/>
                <w:szCs w:val="24"/>
                <w:lang w:val="en-US" w:eastAsia="zh-CN"/>
              </w:rPr>
              <w:t>kg</w:t>
            </w:r>
            <w:r>
              <w:rPr>
                <w:rFonts w:hint="default" w:ascii="Times New Roman" w:hAnsi="Times New Roman"/>
                <w:color w:val="auto"/>
                <w:sz w:val="24"/>
                <w:szCs w:val="24"/>
              </w:rPr>
              <w:t>=</w:t>
            </w:r>
            <w:r>
              <w:rPr>
                <w:rFonts w:hint="eastAsia"/>
                <w:color w:val="auto"/>
                <w:sz w:val="24"/>
                <w:szCs w:val="24"/>
                <w:lang w:val="en-US" w:eastAsia="zh-CN"/>
              </w:rPr>
              <w:t>26188</w:t>
            </w:r>
            <w:r>
              <w:rPr>
                <w:rFonts w:hint="eastAsia"/>
                <w:bCs/>
                <w:color w:val="auto"/>
                <w:sz w:val="24"/>
                <w:szCs w:val="24"/>
                <w:lang w:val="en-US" w:eastAsia="zh-CN"/>
              </w:rPr>
              <w:t>kg=26.188t</w:t>
            </w:r>
            <w:r>
              <w:rPr>
                <w:rFonts w:hint="default" w:ascii="Times New Roman" w:hAnsi="Times New Roman"/>
                <w:color w:val="auto"/>
                <w:sz w:val="24"/>
                <w:szCs w:val="24"/>
              </w:rPr>
              <w:t>。</w:t>
            </w:r>
          </w:p>
          <w:p>
            <w:pPr>
              <w:autoSpaceDE w:val="0"/>
              <w:autoSpaceDN w:val="0"/>
              <w:adjustRightInd w:val="0"/>
              <w:spacing w:line="360" w:lineRule="auto"/>
              <w:ind w:firstLine="480" w:firstLineChars="200"/>
              <w:jc w:val="both"/>
              <w:rPr>
                <w:rFonts w:hint="default" w:hAnsi="Cambria Math" w:cs="Times New Roman"/>
                <w:i w:val="0"/>
                <w:color w:val="auto"/>
                <w:kern w:val="2"/>
                <w:sz w:val="24"/>
                <w:szCs w:val="24"/>
                <w:highlight w:val="none"/>
                <w:u w:val="none" w:color="auto"/>
                <w:vertAlign w:val="baseline"/>
                <w:lang w:val="en-US" w:eastAsia="zh-CN" w:bidi="ar-SA"/>
              </w:rPr>
            </w:pPr>
            <w:r>
              <w:rPr>
                <w:rFonts w:hint="default" w:ascii="Times New Roman" w:hAnsi="Times New Roman" w:cs="Times New Roman"/>
                <w:bCs/>
                <w:color w:val="auto"/>
                <w:sz w:val="24"/>
                <w:szCs w:val="24"/>
                <w:highlight w:val="none"/>
                <w:u w:val="none" w:color="auto"/>
                <w:vertAlign w:val="baseline"/>
                <w:lang w:val="en-US" w:eastAsia="zh-CN"/>
              </w:rPr>
              <w:t>颗粒物</w:t>
            </w:r>
            <w:r>
              <w:rPr>
                <w:rFonts w:hint="eastAsia" w:ascii="Times New Roman" w:hAnsi="Times New Roman" w:cs="Times New Roman"/>
                <w:bCs/>
                <w:color w:val="auto"/>
                <w:sz w:val="24"/>
                <w:szCs w:val="24"/>
                <w:highlight w:val="none"/>
                <w:u w:val="none" w:color="auto"/>
                <w:vertAlign w:val="baseline"/>
                <w:lang w:val="en-US" w:eastAsia="zh-CN"/>
              </w:rPr>
              <w:t>源强计算公式</w:t>
            </w:r>
            <w:r>
              <w:rPr>
                <w:rFonts w:hint="default" w:ascii="Times New Roman" w:hAnsi="Times New Roman" w:cs="Times New Roman"/>
                <w:bCs/>
                <w:color w:val="auto"/>
                <w:sz w:val="24"/>
                <w:szCs w:val="24"/>
                <w:highlight w:val="none"/>
                <w:u w:val="none" w:color="auto"/>
                <w:vertAlign w:val="baseline"/>
                <w:lang w:val="en-US" w:eastAsia="zh-CN"/>
              </w:rPr>
              <w:t>：</w:t>
            </w:r>
            <m:oMath>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E</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r>
                <m:rPr>
                  <m:nor/>
                  <m:sty m:val="p"/>
                </m:rPr>
                <w:rPr>
                  <w:rFonts w:hint="default" w:ascii="Times New Roman" w:hAnsi="Times New Roman" w:cs="Times New Roman"/>
                  <w:b w:val="0"/>
                  <w:bCs/>
                  <w:i w:val="0"/>
                  <w:color w:val="auto"/>
                  <w:kern w:val="2"/>
                  <w:sz w:val="24"/>
                  <w:szCs w:val="24"/>
                  <w:highlight w:val="none"/>
                  <w:u w:val="none" w:color="auto"/>
                  <w:vertAlign w:val="baseline"/>
                  <w:lang w:val="en-US" w:eastAsia="zh-CN" w:bidi="ar-SA"/>
                </w:rPr>
                <m:t>=</m:t>
              </m:r>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R</m:t>
              </m:r>
              <m:r>
                <m:rPr>
                  <m:nor/>
                  <m:sty m:val="p"/>
                </m:rPr>
                <w:rPr>
                  <w:rFonts w:hint="default" w:ascii="Times New Roman" w:hAnsi="Times New Roman" w:cs="Times New Roman"/>
                  <w:b w:val="0"/>
                  <w:bCs/>
                  <w:i w:val="0"/>
                  <w:color w:val="auto"/>
                  <w:kern w:val="2"/>
                  <w:sz w:val="24"/>
                  <w:szCs w:val="24"/>
                  <w:highlight w:val="none"/>
                  <w:u w:val="none" w:color="auto"/>
                  <w:vertAlign w:val="baseline"/>
                  <w:lang w:val="en-US" w:eastAsia="zh-CN" w:bidi="ar-SA"/>
                </w:rPr>
                <m:t>×</m:t>
              </m:r>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i/>
                      <w:color w:val="auto"/>
                      <w:kern w:val="2"/>
                      <w:sz w:val="24"/>
                      <w:szCs w:val="24"/>
                      <w:highlight w:val="none"/>
                      <w:u w:val="none" w:color="auto"/>
                      <w:vertAlign w:val="baseline"/>
                      <w:lang w:val="en-US" w:eastAsia="zh-CN" w:bidi="ar-SA"/>
                    </w:rPr>
                    <m:t>B</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×（1−</m:t>
              </m:r>
              <m:f>
                <m:fPr>
                  <m:ctrlPr>
                    <w:rPr>
                      <w:rFonts w:hint="default" w:ascii="Cambria Math" w:hAnsi="Cambria Math" w:cs="Times New Roman"/>
                      <w:i/>
                      <w:color w:val="auto"/>
                      <w:kern w:val="2"/>
                      <w:sz w:val="24"/>
                      <w:szCs w:val="24"/>
                      <w:highlight w:val="none"/>
                      <w:u w:val="none" w:color="auto"/>
                      <w:vertAlign w:val="baseline"/>
                      <w:lang w:val="en-US" w:eastAsia="zh-CN" w:bidi="ar-SA"/>
                    </w:rPr>
                  </m:ctrlPr>
                </m:fPr>
                <m:num>
                  <m:r>
                    <m:rPr>
                      <m:nor/>
                    </m:rPr>
                    <w:rPr>
                      <w:rFonts w:hint="default" w:ascii="Times New Roman" w:hAnsi="Times New Roman" w:cs="Times New Roman"/>
                      <w:i/>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num>
                <m:den>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100</m:t>
                  </m:r>
                  <m:ctrlPr>
                    <w:rPr>
                      <w:rFonts w:hint="default" w:ascii="Cambria Math" w:hAnsi="Cambria Math" w:cs="Times New Roman"/>
                      <w:i/>
                      <w:color w:val="auto"/>
                      <w:kern w:val="2"/>
                      <w:sz w:val="24"/>
                      <w:szCs w:val="24"/>
                      <w:highlight w:val="none"/>
                      <w:u w:val="none" w:color="auto"/>
                      <w:vertAlign w:val="baseline"/>
                      <w:lang w:val="en-US" w:eastAsia="zh-CN" w:bidi="ar-SA"/>
                    </w:rPr>
                  </m:ctrlPr>
                </m:den>
              </m:f>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m:t>
              </m:r>
              <m:sSup>
                <m:sSupPr>
                  <m:ctrlPr>
                    <w:rPr>
                      <w:rFonts w:hint="default" w:ascii="Cambria Math" w:hAnsi="Cambria Math" w:cs="Times New Roman"/>
                      <w:i/>
                      <w:color w:val="auto"/>
                      <w:kern w:val="2"/>
                      <w:sz w:val="24"/>
                      <w:szCs w:val="24"/>
                      <w:highlight w:val="none"/>
                      <w:u w:val="none" w:color="auto"/>
                      <w:vertAlign w:val="baseline"/>
                      <w:lang w:val="en-US" w:eastAsia="zh-CN" w:bidi="ar-SA"/>
                    </w:rPr>
                  </m:ctrlPr>
                </m:sSupPr>
                <m:e>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10</m:t>
                  </m:r>
                  <m:ctrlPr>
                    <w:rPr>
                      <w:rFonts w:hint="default" w:ascii="Cambria Math" w:hAnsi="Cambria Math" w:cs="Times New Roman"/>
                      <w:i/>
                      <w:color w:val="auto"/>
                      <w:kern w:val="2"/>
                      <w:sz w:val="24"/>
                      <w:szCs w:val="24"/>
                      <w:highlight w:val="none"/>
                      <w:u w:val="none" w:color="auto"/>
                      <w:vertAlign w:val="baseline"/>
                      <w:lang w:val="en-US" w:eastAsia="zh-CN" w:bidi="ar-SA"/>
                    </w:rPr>
                  </m:ctrlPr>
                </m:e>
                <m:sup>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−3</m:t>
                  </m:r>
                  <m:ctrlPr>
                    <w:rPr>
                      <w:rFonts w:hint="default" w:ascii="Cambria Math" w:hAnsi="Cambria Math" w:cs="Times New Roman"/>
                      <w:i/>
                      <w:color w:val="auto"/>
                      <w:kern w:val="2"/>
                      <w:sz w:val="24"/>
                      <w:szCs w:val="24"/>
                      <w:highlight w:val="none"/>
                      <w:u w:val="none" w:color="auto"/>
                      <w:vertAlign w:val="baseline"/>
                      <w:lang w:val="en-US" w:eastAsia="zh-CN" w:bidi="ar-SA"/>
                    </w:rPr>
                  </m:ctrlPr>
                </m:sup>
              </m:sSup>
            </m:oMath>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i w:val="0"/>
                <w:color w:val="auto"/>
                <w:kern w:val="2"/>
                <w:sz w:val="24"/>
                <w:szCs w:val="24"/>
                <w:highlight w:val="none"/>
                <w:u w:val="none" w:color="auto"/>
                <w:vertAlign w:val="baseline"/>
                <w:lang w:val="en-US" w:eastAsia="zh-CN" w:bidi="ar-SA"/>
              </w:rPr>
              <w:t>式中：</w:t>
            </w:r>
            <m:oMath>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E</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——核算时段内第j种污染物排放量</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superscript"/>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R——核算时段内燃料消耗量，t或万m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，本项目取26.188</w:t>
            </w:r>
          </w:p>
          <w:p>
            <w:pPr>
              <w:autoSpaceDE w:val="0"/>
              <w:autoSpaceDN w:val="0"/>
              <w:adjustRightInd w:val="0"/>
              <w:spacing w:line="360" w:lineRule="auto"/>
              <w:ind w:firstLine="480" w:firstLineChars="200"/>
              <w:jc w:val="both"/>
              <w:rPr>
                <w:rFonts w:hint="eastAsia" w:cs="Times New Roman"/>
                <w:color w:val="auto"/>
                <w:sz w:val="24"/>
                <w:szCs w:val="24"/>
                <w:highlight w:val="none"/>
                <w:u w:val="none" w:color="auto"/>
                <w:lang w:val="en-US" w:eastAsia="zh-CN"/>
              </w:rPr>
            </w:pPr>
            <w:r>
              <w:rPr>
                <w:rFonts w:hint="eastAsia" w:hAnsi="Cambria Math" w:cs="Times New Roman"/>
                <w:bCs/>
                <w:i w:val="0"/>
                <w:color w:val="auto"/>
                <w:kern w:val="2"/>
                <w:sz w:val="24"/>
                <w:szCs w:val="24"/>
                <w:highlight w:val="none"/>
                <w:u w:val="none" w:color="auto"/>
                <w:vertAlign w:val="superscript"/>
                <w:lang w:val="en-US" w:eastAsia="zh-CN" w:bidi="ar-SA"/>
              </w:rPr>
              <w:t xml:space="preserve">         </w:t>
            </w:r>
            <m:oMath>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i/>
                      <w:color w:val="auto"/>
                      <w:kern w:val="2"/>
                      <w:sz w:val="24"/>
                      <w:szCs w:val="24"/>
                      <w:highlight w:val="none"/>
                      <w:u w:val="none" w:color="auto"/>
                      <w:vertAlign w:val="baseline"/>
                      <w:lang w:val="en-US" w:eastAsia="zh-CN" w:bidi="ar-SA"/>
                    </w:rPr>
                    <m:t>B</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——产污系数，kg/t，</w:t>
            </w:r>
            <w:r>
              <w:rPr>
                <w:rFonts w:hint="eastAsia" w:cs="Times New Roman"/>
                <w:b w:val="0"/>
                <w:bCs w:val="0"/>
                <w:color w:val="auto"/>
                <w:sz w:val="24"/>
                <w:szCs w:val="24"/>
                <w:highlight w:val="none"/>
                <w:u w:val="none" w:color="auto"/>
                <w:lang w:eastAsia="zh-CN"/>
              </w:rPr>
              <w:t>参照</w:t>
            </w:r>
            <w:r>
              <w:rPr>
                <w:rFonts w:hint="default" w:ascii="Times New Roman" w:hAnsi="Times New Roman" w:eastAsia="宋体" w:cs="Times New Roman"/>
                <w:color w:val="auto"/>
                <w:sz w:val="24"/>
                <w:szCs w:val="24"/>
                <w:highlight w:val="none"/>
                <w:u w:val="none" w:color="auto"/>
                <w:lang w:val="en-US" w:eastAsia="zh-CN"/>
              </w:rPr>
              <w:t>《排污许可证申请与核发技术规范—锅炉》（HJ953-2018）</w:t>
            </w:r>
            <w:r>
              <w:rPr>
                <w:rFonts w:hint="eastAsia" w:cs="Times New Roman"/>
                <w:color w:val="auto"/>
                <w:sz w:val="24"/>
                <w:szCs w:val="24"/>
                <w:highlight w:val="none"/>
                <w:u w:val="none" w:color="auto"/>
                <w:lang w:val="en-US" w:eastAsia="zh-CN"/>
              </w:rPr>
              <w:t>表F.2中燃普通柴油（轻油）工业锅炉的废气产污系数，产污系数取0.26千克/吨燃料。</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根据计算颗粒物排放量=26.188t×0.26kg/t×（1-0.99）×10</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=0.000068t/a，排放速率为0.000063kg/h，排放浓度为0.0063mg/m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w:t>
            </w:r>
          </w:p>
          <w:p>
            <w:pPr>
              <w:autoSpaceDE w:val="0"/>
              <w:autoSpaceDN w:val="0"/>
              <w:adjustRightInd w:val="0"/>
              <w:spacing w:line="360" w:lineRule="auto"/>
              <w:ind w:firstLine="480" w:firstLineChars="200"/>
              <w:jc w:val="both"/>
              <w:rPr>
                <w:rFonts w:hint="default" w:hAnsi="Cambria Math" w:cs="Times New Roman"/>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二氧化硫源强计算公式：</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E</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SO</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2</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r>
                <w:rPr>
                  <w:rFonts w:hint="default" w:ascii="Cambria Math" w:hAnsi="Cambria Math" w:cs="Times New Roman"/>
                  <w:color w:val="auto"/>
                  <w:kern w:val="2"/>
                  <w:sz w:val="24"/>
                  <w:szCs w:val="24"/>
                  <w:highlight w:val="none"/>
                  <w:u w:val="none" w:color="auto"/>
                  <w:vertAlign w:val="baseline"/>
                  <w:lang w:val="en-US" w:eastAsia="zh-CN" w:bidi="ar-SA"/>
                </w:rPr>
                <m:t>=2R</m:t>
              </m:r>
              <m:r>
                <w:rPr>
                  <w:rFonts w:hint="eastAsia" w:ascii="Cambria Math" w:hAnsi="Cambria Math" w:cs="Times New Roman"/>
                  <w:color w:val="auto"/>
                  <w:kern w:val="2"/>
                  <w:sz w:val="24"/>
                  <w:szCs w:val="24"/>
                  <w:highlight w:val="none"/>
                  <w:u w:val="none" w:color="auto"/>
                  <w:vertAlign w:val="baseline"/>
                  <w:lang w:val="en-US" w:eastAsia="zh-CN" w:bidi="ar-SA"/>
                </w:rPr>
                <m:t>×</m:t>
              </m:r>
              <m:f>
                <m:fPr>
                  <m:ctrlPr>
                    <w:rPr>
                      <w:rFonts w:hint="eastAsia" w:ascii="Cambria Math" w:hAnsi="Cambria Math" w:cs="Times New Roman"/>
                      <w:bCs/>
                      <w:i/>
                      <w:color w:val="auto"/>
                      <w:kern w:val="2"/>
                      <w:sz w:val="24"/>
                      <w:szCs w:val="24"/>
                      <w:highlight w:val="none"/>
                      <w:u w:val="none" w:color="auto"/>
                      <w:vertAlign w:val="baseline"/>
                      <w:lang w:val="en-US" w:eastAsia="zh-CN" w:bidi="ar-SA"/>
                    </w:rPr>
                  </m:ctrlPr>
                </m:fPr>
                <m:num>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ar</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num>
                <m:den>
                  <m:r>
                    <w:rPr>
                      <w:rFonts w:hint="default" w:ascii="Cambria Math" w:hAnsi="Cambria Math" w:cs="Times New Roman"/>
                      <w:color w:val="auto"/>
                      <w:kern w:val="2"/>
                      <w:sz w:val="24"/>
                      <w:szCs w:val="24"/>
                      <w:highlight w:val="none"/>
                      <w:u w:val="none" w:color="auto"/>
                      <w:vertAlign w:val="baseline"/>
                      <w:lang w:val="en-US" w:eastAsia="zh-CN" w:bidi="ar-SA"/>
                    </w:rPr>
                    <m:t>100</m:t>
                  </m:r>
                  <m:ctrlPr>
                    <w:rPr>
                      <w:rFonts w:hint="eastAsia" w:ascii="Cambria Math" w:hAnsi="Cambria Math" w:cs="Times New Roman"/>
                      <w:bCs/>
                      <w:i/>
                      <w:color w:val="auto"/>
                      <w:kern w:val="2"/>
                      <w:sz w:val="24"/>
                      <w:szCs w:val="24"/>
                      <w:highlight w:val="none"/>
                      <w:u w:val="none" w:color="auto"/>
                      <w:vertAlign w:val="baseline"/>
                      <w:lang w:val="en-US" w:eastAsia="zh-CN" w:bidi="ar-SA"/>
                    </w:rPr>
                  </m:ctrlPr>
                </m:den>
              </m:f>
              <m:r>
                <w:rPr>
                  <w:rFonts w:hint="eastAsia" w:ascii="Cambria Math" w:hAnsi="Cambria Math" w:cs="Times New Roman"/>
                  <w:color w:val="auto"/>
                  <w:kern w:val="2"/>
                  <w:sz w:val="24"/>
                  <w:szCs w:val="24"/>
                  <w:highlight w:val="none"/>
                  <w:u w:val="none" w:color="auto"/>
                  <w:vertAlign w:val="baseline"/>
                  <w:lang w:val="en-US" w:eastAsia="zh-CN" w:bidi="ar-SA"/>
                </w:rPr>
                <m:t>×</m:t>
              </m:r>
              <m:d>
                <m:dPr>
                  <m:ctrlPr>
                    <w:rPr>
                      <w:rFonts w:hint="eastAsia" w:ascii="Cambria Math" w:hAnsi="Cambria Math" w:cs="Times New Roman"/>
                      <w:i/>
                      <w:color w:val="auto"/>
                      <w:kern w:val="2"/>
                      <w:sz w:val="24"/>
                      <w:szCs w:val="24"/>
                      <w:highlight w:val="none"/>
                      <w:u w:val="none" w:color="auto"/>
                      <w:vertAlign w:val="baseline"/>
                      <w:lang w:val="en-US" w:eastAsia="zh-CN" w:bidi="ar-SA"/>
                    </w:rPr>
                  </m:ctrlPr>
                </m:dPr>
                <m:e>
                  <m:r>
                    <w:rPr>
                      <w:rFonts w:hint="default" w:ascii="Cambria Math" w:hAnsi="Cambria Math" w:cs="Times New Roman"/>
                      <w:color w:val="auto"/>
                      <w:kern w:val="2"/>
                      <w:sz w:val="24"/>
                      <w:szCs w:val="24"/>
                      <w:highlight w:val="none"/>
                      <w:u w:val="none" w:color="auto"/>
                      <w:vertAlign w:val="baseline"/>
                      <w:lang w:val="en-US" w:eastAsia="zh-CN" w:bidi="ar-SA"/>
                    </w:rPr>
                    <m:t>1−</m:t>
                  </m:r>
                  <m:f>
                    <m:fPr>
                      <m:ctrlPr>
                        <w:rPr>
                          <w:rFonts w:hint="default" w:ascii="Cambria Math" w:hAnsi="Cambria Math" w:cs="Times New Roman"/>
                          <w:i/>
                          <w:color w:val="auto"/>
                          <w:kern w:val="2"/>
                          <w:sz w:val="24"/>
                          <w:szCs w:val="24"/>
                          <w:highlight w:val="none"/>
                          <w:u w:val="none" w:color="auto"/>
                          <w:vertAlign w:val="baseline"/>
                          <w:lang w:val="en-US" w:eastAsia="zh-CN" w:bidi="ar-SA"/>
                        </w:rPr>
                      </m:ctrlPr>
                    </m:fPr>
                    <m:num>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q</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4</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ctrlPr>
                        <w:rPr>
                          <w:rFonts w:hint="default" w:ascii="Cambria Math" w:hAnsi="Cambria Math" w:cs="Times New Roman"/>
                          <w:i/>
                          <w:color w:val="auto"/>
                          <w:kern w:val="2"/>
                          <w:sz w:val="24"/>
                          <w:szCs w:val="24"/>
                          <w:highlight w:val="none"/>
                          <w:u w:val="none" w:color="auto"/>
                          <w:vertAlign w:val="baseline"/>
                          <w:lang w:val="en-US" w:eastAsia="zh-CN" w:bidi="ar-SA"/>
                        </w:rPr>
                      </m:ctrlPr>
                    </m:num>
                    <m:den>
                      <m:r>
                        <w:rPr>
                          <w:rFonts w:hint="default" w:ascii="Cambria Math" w:hAnsi="Cambria Math" w:cs="Times New Roman"/>
                          <w:color w:val="auto"/>
                          <w:kern w:val="2"/>
                          <w:sz w:val="24"/>
                          <w:szCs w:val="24"/>
                          <w:highlight w:val="none"/>
                          <w:u w:val="none" w:color="auto"/>
                          <w:vertAlign w:val="baseline"/>
                          <w:lang w:val="en-US" w:eastAsia="zh-CN" w:bidi="ar-SA"/>
                        </w:rPr>
                        <m:t>100</m:t>
                      </m:r>
                      <m:ctrlPr>
                        <w:rPr>
                          <w:rFonts w:hint="default" w:ascii="Cambria Math" w:hAnsi="Cambria Math" w:cs="Times New Roman"/>
                          <w:i/>
                          <w:color w:val="auto"/>
                          <w:kern w:val="2"/>
                          <w:sz w:val="24"/>
                          <w:szCs w:val="24"/>
                          <w:highlight w:val="none"/>
                          <w:u w:val="none" w:color="auto"/>
                          <w:vertAlign w:val="baseline"/>
                          <w:lang w:val="en-US" w:eastAsia="zh-CN" w:bidi="ar-SA"/>
                        </w:rPr>
                      </m:ctrlPr>
                    </m:den>
                  </m:f>
                  <m:ctrlPr>
                    <w:rPr>
                      <w:rFonts w:hint="eastAsia" w:ascii="Cambria Math" w:hAnsi="Cambria Math" w:cs="Times New Roman"/>
                      <w:i/>
                      <w:color w:val="auto"/>
                      <w:kern w:val="2"/>
                      <w:sz w:val="24"/>
                      <w:szCs w:val="24"/>
                      <w:highlight w:val="none"/>
                      <w:u w:val="none" w:color="auto"/>
                      <w:vertAlign w:val="baseline"/>
                      <w:lang w:val="en-US" w:eastAsia="zh-CN" w:bidi="ar-SA"/>
                    </w:rPr>
                  </m:ctrlPr>
                </m:e>
              </m:d>
              <m:r>
                <w:rPr>
                  <w:rFonts w:hint="eastAsia" w:ascii="Cambria Math" w:hAnsi="Cambria Math" w:cs="Times New Roman"/>
                  <w:color w:val="auto"/>
                  <w:kern w:val="2"/>
                  <w:sz w:val="24"/>
                  <w:szCs w:val="24"/>
                  <w:highlight w:val="none"/>
                  <w:u w:val="none" w:color="auto"/>
                  <w:vertAlign w:val="baseline"/>
                  <w:lang w:val="en-US" w:eastAsia="zh-CN" w:bidi="ar-SA"/>
                </w:rPr>
                <m:t>×</m:t>
              </m:r>
              <m:d>
                <m:dPr>
                  <m:ctrlPr>
                    <w:rPr>
                      <w:rFonts w:hint="eastAsia" w:ascii="Cambria Math" w:hAnsi="Cambria Math" w:cs="Times New Roman"/>
                      <w:i/>
                      <w:color w:val="auto"/>
                      <w:kern w:val="2"/>
                      <w:sz w:val="24"/>
                      <w:szCs w:val="24"/>
                      <w:highlight w:val="none"/>
                      <w:u w:val="none" w:color="auto"/>
                      <w:vertAlign w:val="baseline"/>
                      <w:lang w:val="en-US" w:eastAsia="zh-CN" w:bidi="ar-SA"/>
                    </w:rPr>
                  </m:ctrlPr>
                </m:dPr>
                <m:e>
                  <m:r>
                    <w:rPr>
                      <w:rFonts w:hint="default" w:ascii="Cambria Math" w:hAnsi="Cambria Math" w:cs="Times New Roman"/>
                      <w:color w:val="auto"/>
                      <w:kern w:val="2"/>
                      <w:sz w:val="24"/>
                      <w:szCs w:val="24"/>
                      <w:highlight w:val="none"/>
                      <w:u w:val="none" w:color="auto"/>
                      <w:vertAlign w:val="baseline"/>
                      <w:lang w:val="en-US" w:eastAsia="zh-CN" w:bidi="ar-SA"/>
                    </w:rPr>
                    <m:t>1−</m:t>
                  </m:r>
                  <m:f>
                    <m:fPr>
                      <m:ctrlPr>
                        <w:rPr>
                          <w:rFonts w:hint="default" w:ascii="Cambria Math" w:hAnsi="Cambria Math" w:cs="Times New Roman"/>
                          <w:i/>
                          <w:color w:val="auto"/>
                          <w:kern w:val="2"/>
                          <w:sz w:val="24"/>
                          <w:szCs w:val="24"/>
                          <w:highlight w:val="none"/>
                          <w:u w:val="none" w:color="auto"/>
                          <w:vertAlign w:val="baseline"/>
                          <w:lang w:val="en-US" w:eastAsia="zh-CN" w:bidi="ar-SA"/>
                        </w:rPr>
                      </m:ctrlPr>
                    </m:fPr>
                    <m:num>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ctrlPr>
                        <w:rPr>
                          <w:rFonts w:hint="default" w:ascii="Cambria Math" w:hAnsi="Cambria Math" w:cs="Times New Roman"/>
                          <w:i/>
                          <w:color w:val="auto"/>
                          <w:kern w:val="2"/>
                          <w:sz w:val="24"/>
                          <w:szCs w:val="24"/>
                          <w:highlight w:val="none"/>
                          <w:u w:val="none" w:color="auto"/>
                          <w:vertAlign w:val="baseline"/>
                          <w:lang w:val="en-US" w:eastAsia="zh-CN" w:bidi="ar-SA"/>
                        </w:rPr>
                      </m:ctrlPr>
                    </m:num>
                    <m:den>
                      <m:r>
                        <w:rPr>
                          <w:rFonts w:hint="default" w:ascii="Cambria Math" w:hAnsi="Cambria Math" w:cs="Times New Roman"/>
                          <w:color w:val="auto"/>
                          <w:kern w:val="2"/>
                          <w:sz w:val="24"/>
                          <w:szCs w:val="24"/>
                          <w:highlight w:val="none"/>
                          <w:u w:val="none" w:color="auto"/>
                          <w:vertAlign w:val="baseline"/>
                          <w:lang w:val="en-US" w:eastAsia="zh-CN" w:bidi="ar-SA"/>
                        </w:rPr>
                        <m:t>100</m:t>
                      </m:r>
                      <m:ctrlPr>
                        <w:rPr>
                          <w:rFonts w:hint="default" w:ascii="Cambria Math" w:hAnsi="Cambria Math" w:cs="Times New Roman"/>
                          <w:i/>
                          <w:color w:val="auto"/>
                          <w:kern w:val="2"/>
                          <w:sz w:val="24"/>
                          <w:szCs w:val="24"/>
                          <w:highlight w:val="none"/>
                          <w:u w:val="none" w:color="auto"/>
                          <w:vertAlign w:val="baseline"/>
                          <w:lang w:val="en-US" w:eastAsia="zh-CN" w:bidi="ar-SA"/>
                        </w:rPr>
                      </m:ctrlPr>
                    </m:den>
                  </m:f>
                  <m:ctrlPr>
                    <w:rPr>
                      <w:rFonts w:hint="eastAsia" w:ascii="Cambria Math" w:hAnsi="Cambria Math" w:cs="Times New Roman"/>
                      <w:i/>
                      <w:color w:val="auto"/>
                      <w:kern w:val="2"/>
                      <w:sz w:val="24"/>
                      <w:szCs w:val="24"/>
                      <w:highlight w:val="none"/>
                      <w:u w:val="none" w:color="auto"/>
                      <w:vertAlign w:val="baseline"/>
                      <w:lang w:val="en-US" w:eastAsia="zh-CN" w:bidi="ar-SA"/>
                    </w:rPr>
                  </m:ctrlPr>
                </m:e>
              </m:d>
              <m:r>
                <w:rPr>
                  <w:rFonts w:hint="eastAsia" w:ascii="Cambria Math" w:hAnsi="Cambria Math" w:cs="Times New Roman"/>
                  <w:color w:val="auto"/>
                  <w:kern w:val="2"/>
                  <w:sz w:val="24"/>
                  <w:szCs w:val="24"/>
                  <w:highlight w:val="none"/>
                  <w:u w:val="none" w:color="auto"/>
                  <w:vertAlign w:val="baseline"/>
                  <w:lang w:val="en-US" w:eastAsia="zh-CN" w:bidi="ar-SA"/>
                </w:rPr>
                <m:t>×</m:t>
              </m:r>
              <m:r>
                <w:rPr>
                  <w:rFonts w:hint="default" w:ascii="Cambria Math" w:hAnsi="Cambria Math" w:cs="Times New Roman"/>
                  <w:color w:val="auto"/>
                  <w:kern w:val="2"/>
                  <w:sz w:val="24"/>
                  <w:szCs w:val="24"/>
                  <w:highlight w:val="none"/>
                  <w:u w:val="none" w:color="auto"/>
                  <w:vertAlign w:val="baseline"/>
                  <w:lang w:val="en-US" w:eastAsia="zh-CN" w:bidi="ar-SA"/>
                </w:rPr>
                <m:t>K</m:t>
              </m:r>
            </m:oMath>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i w:val="0"/>
                <w:color w:val="auto"/>
                <w:kern w:val="2"/>
                <w:sz w:val="24"/>
                <w:szCs w:val="24"/>
                <w:highlight w:val="none"/>
                <w:u w:val="none" w:color="auto"/>
                <w:vertAlign w:val="baseline"/>
                <w:lang w:val="en-US" w:eastAsia="zh-CN" w:bidi="ar-SA"/>
              </w:rPr>
              <w:t>式中：</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E</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SO</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2</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——核算时段内二氧化硫排放量，t</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superscript"/>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R——核算时段内燃料消耗量，t，本项目取26.188</w:t>
            </w:r>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superscript"/>
                <w:lang w:val="en-US" w:eastAsia="zh-CN" w:bidi="ar-SA"/>
              </w:rPr>
              <w:t xml:space="preserve">         </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ar</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——收到基硫的质量分数，%，</w:t>
            </w:r>
            <w:r>
              <w:rPr>
                <w:rFonts w:hint="eastAsia" w:cs="Times New Roman"/>
                <w:color w:val="auto"/>
                <w:sz w:val="24"/>
                <w:szCs w:val="24"/>
                <w:highlight w:val="none"/>
                <w:u w:val="none" w:color="auto"/>
                <w:lang w:val="en-US" w:eastAsia="zh-CN"/>
              </w:rPr>
              <w:t>根据《关于做好全国全面供</w:t>
            </w:r>
            <w:r>
              <w:rPr>
                <w:rFonts w:hint="eastAsia" w:ascii="Times New Roman" w:hAnsi="Times New Roman" w:eastAsia="宋体" w:cs="Times New Roman"/>
                <w:color w:val="auto"/>
                <w:sz w:val="24"/>
                <w:szCs w:val="24"/>
                <w:highlight w:val="none"/>
                <w:u w:val="none" w:color="auto"/>
                <w:lang w:val="en-US" w:eastAsia="zh-CN"/>
              </w:rPr>
              <w:t>应硫含量不大于10PPM普通柴油有关工作的通知》（发改办能源〔2017〕965号），</w:t>
            </w:r>
            <w:r>
              <w:rPr>
                <w:rFonts w:hint="default" w:ascii="Times New Roman" w:hAnsi="Times New Roman" w:eastAsia="宋体" w:cs="Times New Roman"/>
                <w:color w:val="auto"/>
                <w:sz w:val="24"/>
                <w:szCs w:val="24"/>
                <w:highlight w:val="none"/>
                <w:u w:val="none" w:color="auto"/>
                <w:lang w:val="en-US" w:eastAsia="zh-CN"/>
              </w:rPr>
              <w:t>本项目</w:t>
            </w:r>
            <w:r>
              <w:rPr>
                <w:rFonts w:hint="eastAsia" w:cs="Times New Roman"/>
                <w:b w:val="0"/>
                <w:bCs w:val="0"/>
                <w:color w:val="auto"/>
                <w:sz w:val="24"/>
                <w:szCs w:val="24"/>
                <w:highlight w:val="none"/>
                <w:u w:val="none" w:color="auto"/>
                <w:lang w:eastAsia="zh-CN"/>
              </w:rPr>
              <w:t>导热油炉所采用</w:t>
            </w:r>
            <w:r>
              <w:rPr>
                <w:rFonts w:hint="eastAsia" w:cs="Times New Roman"/>
                <w:b w:val="0"/>
                <w:bCs w:val="0"/>
                <w:color w:val="auto"/>
                <w:sz w:val="24"/>
                <w:szCs w:val="24"/>
                <w:highlight w:val="none"/>
                <w:u w:val="none" w:color="auto"/>
                <w:lang w:val="en-US" w:eastAsia="zh-CN"/>
              </w:rPr>
              <w:t>轻质柴油</w:t>
            </w:r>
            <w:r>
              <w:rPr>
                <w:rFonts w:hint="eastAsia" w:cs="Times New Roman"/>
                <w:b w:val="0"/>
                <w:bCs w:val="0"/>
                <w:color w:val="auto"/>
                <w:sz w:val="24"/>
                <w:szCs w:val="24"/>
                <w:highlight w:val="none"/>
                <w:u w:val="none" w:color="auto"/>
                <w:lang w:eastAsia="zh-CN"/>
              </w:rPr>
              <w:t>燃料的</w:t>
            </w:r>
            <w:r>
              <w:rPr>
                <w:rFonts w:hint="default" w:ascii="Times New Roman" w:hAnsi="Times New Roman" w:eastAsia="宋体" w:cs="Times New Roman"/>
                <w:color w:val="auto"/>
                <w:sz w:val="24"/>
                <w:highlight w:val="none"/>
                <w:u w:val="none" w:color="auto"/>
                <w:lang w:val="en-US" w:eastAsia="zh-CN"/>
              </w:rPr>
              <w:t>含硫量取</w:t>
            </w:r>
            <w:r>
              <w:rPr>
                <w:rFonts w:hint="eastAsia" w:cs="Times New Roman"/>
                <w:color w:val="auto"/>
                <w:sz w:val="24"/>
                <w:highlight w:val="none"/>
                <w:u w:val="none" w:color="auto"/>
                <w:lang w:val="en-US" w:eastAsia="zh-CN"/>
              </w:rPr>
              <w:t>为</w:t>
            </w:r>
            <w:r>
              <w:rPr>
                <w:rFonts w:hint="default" w:ascii="Times New Roman" w:hAnsi="Times New Roman" w:eastAsia="宋体" w:cs="Times New Roman"/>
                <w:color w:val="auto"/>
                <w:sz w:val="24"/>
                <w:highlight w:val="none"/>
                <w:u w:val="none" w:color="auto"/>
                <w:lang w:val="en-US" w:eastAsia="zh-CN"/>
              </w:rPr>
              <w:t>0.</w:t>
            </w:r>
            <w:r>
              <w:rPr>
                <w:rFonts w:hint="eastAsia" w:cs="Times New Roman"/>
                <w:color w:val="auto"/>
                <w:sz w:val="24"/>
                <w:highlight w:val="none"/>
                <w:u w:val="none" w:color="auto"/>
                <w:lang w:val="en-US" w:eastAsia="zh-CN"/>
              </w:rPr>
              <w:t>001</w:t>
            </w:r>
            <w:r>
              <w:rPr>
                <w:rFonts w:hint="default" w:ascii="Times New Roman" w:hAnsi="Times New Roman" w:eastAsia="宋体" w:cs="Times New Roman"/>
                <w:color w:val="auto"/>
                <w:sz w:val="24"/>
                <w:highlight w:val="none"/>
                <w:u w:val="none" w:color="auto"/>
                <w:lang w:val="en-US" w:eastAsia="zh-CN"/>
              </w:rPr>
              <w:t>%</w:t>
            </w:r>
            <w:r>
              <w:rPr>
                <w:rFonts w:hint="eastAsia" w:cs="Times New Roman"/>
                <w:color w:val="auto"/>
                <w:sz w:val="24"/>
                <w:highlight w:val="none"/>
                <w:u w:val="none" w:color="auto"/>
                <w:lang w:val="en-US" w:eastAsia="zh-CN"/>
              </w:rPr>
              <w:t>，</w:t>
            </w:r>
          </w:p>
          <w:p>
            <w:pPr>
              <w:autoSpaceDE w:val="0"/>
              <w:autoSpaceDN w:val="0"/>
              <w:adjustRightInd w:val="0"/>
              <w:spacing w:line="360" w:lineRule="auto"/>
              <w:ind w:firstLine="1200" w:firstLineChars="500"/>
              <w:jc w:val="both"/>
              <w:rPr>
                <w:rFonts w:hint="default" w:hAnsi="Cambria Math" w:cs="Times New Roman"/>
                <w:bCs/>
                <w:i w:val="0"/>
                <w:color w:val="auto"/>
                <w:kern w:val="2"/>
                <w:sz w:val="24"/>
                <w:szCs w:val="24"/>
                <w:highlight w:val="none"/>
                <w:u w:val="none" w:color="auto"/>
                <w:vertAlign w:val="superscript"/>
                <w:lang w:val="en-US" w:eastAsia="zh-CN" w:bidi="ar-SA"/>
              </w:rPr>
            </w:pPr>
            <m:oMath>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q</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4</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——锅炉机械不完全燃烧热损失，%，取10%</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superscript"/>
                <w:lang w:val="en-US" w:eastAsia="zh-CN" w:bidi="ar-SA"/>
              </w:rPr>
              <w:t xml:space="preserve">         </w:t>
            </w:r>
            <m:oMath>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——脱硫效率，%，取0</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K——燃料中硫燃烧后氧化成二氧化硫的份额，量纲一的量。取1.00</w:t>
            </w:r>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根据计算二氧化硫排放量=2×26.188t×0.001/100×（1-0.1）×（1-0）×1=0.0005t/a，排放速率为0.0005kg/h，排放浓度为0.5mg/m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w:t>
            </w:r>
          </w:p>
          <w:p>
            <w:pPr>
              <w:autoSpaceDE w:val="0"/>
              <w:autoSpaceDN w:val="0"/>
              <w:adjustRightInd w:val="0"/>
              <w:spacing w:line="360" w:lineRule="auto"/>
              <w:ind w:firstLine="480" w:firstLineChars="200"/>
              <w:jc w:val="both"/>
              <w:rPr>
                <w:rFonts w:hint="default" w:hAnsi="Cambria Math" w:cs="Times New Roman"/>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氮氧化物源强计算公式：</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E</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NO</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x</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r>
                <w:rPr>
                  <w:rFonts w:hint="default" w:ascii="Cambria Math" w:hAnsi="Cambria Math" w:cs="Times New Roman"/>
                  <w:color w:val="auto"/>
                  <w:kern w:val="2"/>
                  <w:sz w:val="24"/>
                  <w:szCs w:val="24"/>
                  <w:highlight w:val="none"/>
                  <w:u w:val="none" w:color="auto"/>
                  <w:vertAlign w:val="baseline"/>
                  <w:lang w:val="en-US" w:eastAsia="zh-CN" w:bidi="ar-SA"/>
                </w:rPr>
                <m:t>=</m:t>
              </m:r>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ρ</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NOx</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r>
                <w:rPr>
                  <w:rFonts w:hint="eastAsia" w:ascii="Cambria Math" w:hAnsi="Cambria Math" w:cs="Times New Roman"/>
                  <w:color w:val="auto"/>
                  <w:kern w:val="2"/>
                  <w:sz w:val="24"/>
                  <w:szCs w:val="24"/>
                  <w:highlight w:val="none"/>
                  <w:u w:val="none" w:color="auto"/>
                  <w:vertAlign w:val="baseline"/>
                  <w:lang w:val="en-US" w:eastAsia="zh-CN" w:bidi="ar-SA"/>
                </w:rPr>
                <m:t>×</m:t>
              </m:r>
              <m:r>
                <w:rPr>
                  <w:rFonts w:hint="default" w:ascii="Cambria Math" w:hAnsi="Cambria Math" w:cs="Times New Roman"/>
                  <w:color w:val="auto"/>
                  <w:kern w:val="2"/>
                  <w:sz w:val="24"/>
                  <w:szCs w:val="24"/>
                  <w:highlight w:val="none"/>
                  <w:u w:val="none" w:color="auto"/>
                  <w:vertAlign w:val="baseline"/>
                  <w:lang w:val="en-US" w:eastAsia="zh-CN" w:bidi="ar-SA"/>
                </w:rPr>
                <m:t>Q</m:t>
              </m:r>
              <m:r>
                <w:rPr>
                  <w:rFonts w:hint="eastAsia" w:ascii="Cambria Math" w:hAnsi="Cambria Math" w:cs="Times New Roman"/>
                  <w:color w:val="auto"/>
                  <w:kern w:val="2"/>
                  <w:sz w:val="24"/>
                  <w:szCs w:val="24"/>
                  <w:highlight w:val="none"/>
                  <w:u w:val="none" w:color="auto"/>
                  <w:vertAlign w:val="baseline"/>
                  <w:lang w:val="en-US" w:eastAsia="zh-CN" w:bidi="ar-SA"/>
                </w:rPr>
                <m:t>×</m:t>
              </m:r>
              <m:d>
                <m:dPr>
                  <m:ctrlPr>
                    <w:rPr>
                      <w:rFonts w:hint="eastAsia" w:ascii="Cambria Math" w:hAnsi="Cambria Math" w:cs="Times New Roman"/>
                      <w:i/>
                      <w:color w:val="auto"/>
                      <w:kern w:val="2"/>
                      <w:sz w:val="24"/>
                      <w:szCs w:val="24"/>
                      <w:highlight w:val="none"/>
                      <w:u w:val="none" w:color="auto"/>
                      <w:vertAlign w:val="baseline"/>
                      <w:lang w:val="en-US" w:eastAsia="zh-CN" w:bidi="ar-SA"/>
                    </w:rPr>
                  </m:ctrlPr>
                </m:dPr>
                <m:e>
                  <m:r>
                    <w:rPr>
                      <w:rFonts w:hint="default" w:ascii="Cambria Math" w:hAnsi="Cambria Math" w:cs="Times New Roman"/>
                      <w:color w:val="auto"/>
                      <w:kern w:val="2"/>
                      <w:sz w:val="24"/>
                      <w:szCs w:val="24"/>
                      <w:highlight w:val="none"/>
                      <w:u w:val="none" w:color="auto"/>
                      <w:vertAlign w:val="baseline"/>
                      <w:lang w:val="en-US" w:eastAsia="zh-CN" w:bidi="ar-SA"/>
                    </w:rPr>
                    <m:t>1−</m:t>
                  </m:r>
                  <m:f>
                    <m:fPr>
                      <m:ctrlPr>
                        <w:rPr>
                          <w:rFonts w:hint="default" w:ascii="Cambria Math" w:hAnsi="Cambria Math" w:cs="Times New Roman"/>
                          <w:i/>
                          <w:color w:val="auto"/>
                          <w:kern w:val="2"/>
                          <w:sz w:val="24"/>
                          <w:szCs w:val="24"/>
                          <w:highlight w:val="none"/>
                          <w:u w:val="none" w:color="auto"/>
                          <w:vertAlign w:val="baseline"/>
                          <w:lang w:val="en-US" w:eastAsia="zh-CN" w:bidi="ar-SA"/>
                        </w:rPr>
                      </m:ctrlPr>
                    </m:fPr>
                    <m:num>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NOx</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ctrlPr>
                        <w:rPr>
                          <w:rFonts w:hint="default" w:ascii="Cambria Math" w:hAnsi="Cambria Math" w:cs="Times New Roman"/>
                          <w:i/>
                          <w:color w:val="auto"/>
                          <w:kern w:val="2"/>
                          <w:sz w:val="24"/>
                          <w:szCs w:val="24"/>
                          <w:highlight w:val="none"/>
                          <w:u w:val="none" w:color="auto"/>
                          <w:vertAlign w:val="baseline"/>
                          <w:lang w:val="en-US" w:eastAsia="zh-CN" w:bidi="ar-SA"/>
                        </w:rPr>
                      </m:ctrlPr>
                    </m:num>
                    <m:den>
                      <m:r>
                        <w:rPr>
                          <w:rFonts w:hint="default" w:ascii="Cambria Math" w:hAnsi="Cambria Math" w:cs="Times New Roman"/>
                          <w:color w:val="auto"/>
                          <w:kern w:val="2"/>
                          <w:sz w:val="24"/>
                          <w:szCs w:val="24"/>
                          <w:highlight w:val="none"/>
                          <w:u w:val="none" w:color="auto"/>
                          <w:vertAlign w:val="baseline"/>
                          <w:lang w:val="en-US" w:eastAsia="zh-CN" w:bidi="ar-SA"/>
                        </w:rPr>
                        <m:t>100</m:t>
                      </m:r>
                      <m:ctrlPr>
                        <w:rPr>
                          <w:rFonts w:hint="default" w:ascii="Cambria Math" w:hAnsi="Cambria Math" w:cs="Times New Roman"/>
                          <w:i/>
                          <w:color w:val="auto"/>
                          <w:kern w:val="2"/>
                          <w:sz w:val="24"/>
                          <w:szCs w:val="24"/>
                          <w:highlight w:val="none"/>
                          <w:u w:val="none" w:color="auto"/>
                          <w:vertAlign w:val="baseline"/>
                          <w:lang w:val="en-US" w:eastAsia="zh-CN" w:bidi="ar-SA"/>
                        </w:rPr>
                      </m:ctrlPr>
                    </m:den>
                  </m:f>
                  <m:ctrlPr>
                    <w:rPr>
                      <w:rFonts w:hint="eastAsia" w:ascii="Cambria Math" w:hAnsi="Cambria Math" w:cs="Times New Roman"/>
                      <w:i/>
                      <w:color w:val="auto"/>
                      <w:kern w:val="2"/>
                      <w:sz w:val="24"/>
                      <w:szCs w:val="24"/>
                      <w:highlight w:val="none"/>
                      <w:u w:val="none" w:color="auto"/>
                      <w:vertAlign w:val="baseline"/>
                      <w:lang w:val="en-US" w:eastAsia="zh-CN" w:bidi="ar-SA"/>
                    </w:rPr>
                  </m:ctrlPr>
                </m:e>
              </m:d>
              <m:r>
                <w:rPr>
                  <w:rFonts w:hint="eastAsia" w:ascii="Cambria Math" w:hAnsi="Cambria Math" w:cs="Times New Roman"/>
                  <w:color w:val="auto"/>
                  <w:kern w:val="2"/>
                  <w:sz w:val="24"/>
                  <w:szCs w:val="24"/>
                  <w:highlight w:val="none"/>
                  <w:u w:val="none" w:color="auto"/>
                  <w:vertAlign w:val="baseline"/>
                  <w:lang w:val="en-US" w:eastAsia="zh-CN" w:bidi="ar-SA"/>
                </w:rPr>
                <m:t>×</m:t>
              </m:r>
              <m:sSup>
                <m:sSupPr>
                  <m:ctrlPr>
                    <w:rPr>
                      <w:rFonts w:hint="default" w:ascii="Cambria Math" w:hAnsi="Cambria Math" w:cs="Times New Roman"/>
                      <w:i/>
                      <w:color w:val="auto"/>
                      <w:kern w:val="2"/>
                      <w:sz w:val="24"/>
                      <w:szCs w:val="24"/>
                      <w:highlight w:val="none"/>
                      <w:u w:val="none" w:color="auto"/>
                      <w:vertAlign w:val="baseline"/>
                      <w:lang w:val="en-US" w:eastAsia="zh-CN" w:bidi="ar-SA"/>
                    </w:rPr>
                  </m:ctrlPr>
                </m:sSupPr>
                <m:e>
                  <m:r>
                    <w:rPr>
                      <w:rFonts w:hint="default" w:ascii="Cambria Math" w:hAnsi="Cambria Math" w:cs="Times New Roman"/>
                      <w:color w:val="auto"/>
                      <w:kern w:val="2"/>
                      <w:sz w:val="24"/>
                      <w:szCs w:val="24"/>
                      <w:highlight w:val="none"/>
                      <w:u w:val="none" w:color="auto"/>
                      <w:vertAlign w:val="baseline"/>
                      <w:lang w:val="en-US" w:eastAsia="zh-CN" w:bidi="ar-SA"/>
                    </w:rPr>
                    <m:t>10</m:t>
                  </m:r>
                  <m:ctrlPr>
                    <w:rPr>
                      <w:rFonts w:hint="default" w:ascii="Cambria Math" w:hAnsi="Cambria Math" w:cs="Times New Roman"/>
                      <w:i/>
                      <w:color w:val="auto"/>
                      <w:kern w:val="2"/>
                      <w:sz w:val="24"/>
                      <w:szCs w:val="24"/>
                      <w:highlight w:val="none"/>
                      <w:u w:val="none" w:color="auto"/>
                      <w:vertAlign w:val="baseline"/>
                      <w:lang w:val="en-US" w:eastAsia="zh-CN" w:bidi="ar-SA"/>
                    </w:rPr>
                  </m:ctrlPr>
                </m:e>
                <m:sup>
                  <m:r>
                    <w:rPr>
                      <w:rFonts w:hint="default" w:ascii="Cambria Math" w:hAnsi="Cambria Math" w:cs="Times New Roman"/>
                      <w:color w:val="auto"/>
                      <w:kern w:val="2"/>
                      <w:sz w:val="24"/>
                      <w:szCs w:val="24"/>
                      <w:highlight w:val="none"/>
                      <w:u w:val="none" w:color="auto"/>
                      <w:vertAlign w:val="baseline"/>
                      <w:lang w:val="en-US" w:eastAsia="zh-CN" w:bidi="ar-SA"/>
                    </w:rPr>
                    <m:t>−9</m:t>
                  </m:r>
                  <m:ctrlPr>
                    <w:rPr>
                      <w:rFonts w:hint="default" w:ascii="Cambria Math" w:hAnsi="Cambria Math" w:cs="Times New Roman"/>
                      <w:i/>
                      <w:color w:val="auto"/>
                      <w:kern w:val="2"/>
                      <w:sz w:val="24"/>
                      <w:szCs w:val="24"/>
                      <w:highlight w:val="none"/>
                      <w:u w:val="none" w:color="auto"/>
                      <w:vertAlign w:val="baseline"/>
                      <w:lang w:val="en-US" w:eastAsia="zh-CN" w:bidi="ar-SA"/>
                    </w:rPr>
                  </m:ctrlPr>
                </m:sup>
              </m:sSup>
            </m:oMath>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i w:val="0"/>
                <w:color w:val="auto"/>
                <w:kern w:val="2"/>
                <w:sz w:val="24"/>
                <w:szCs w:val="24"/>
                <w:highlight w:val="none"/>
                <w:u w:val="none" w:color="auto"/>
                <w:vertAlign w:val="baseline"/>
                <w:lang w:val="en-US" w:eastAsia="zh-CN" w:bidi="ar-SA"/>
              </w:rPr>
              <w:t>式中：</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E</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NO</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x</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——核算时段内氮氧化物排放量，t</w:t>
            </w:r>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w:t>
            </w:r>
            <m:oMath>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ρ</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NOx</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——锅炉炉膛出口氮氧化物质量浓度，本项目出口氮氧化物浓度取180mg/m</w:t>
            </w:r>
            <w:r>
              <w:rPr>
                <w:rFonts w:hint="eastAsia" w:hAnsi="Cambria Math" w:cs="Times New Roman"/>
                <w:bCs/>
                <w:i w:val="0"/>
                <w:color w:val="auto"/>
                <w:kern w:val="2"/>
                <w:sz w:val="24"/>
                <w:szCs w:val="24"/>
                <w:highlight w:val="none"/>
                <w:u w:val="none" w:color="auto"/>
                <w:vertAlign w:val="superscript"/>
                <w:lang w:val="en-US" w:eastAsia="zh-CN" w:bidi="ar-SA"/>
              </w:rPr>
              <w:t>3</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superscript"/>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Q——核算时段内标态干烟气排放量，m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，风机风量10000m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/h，年运行1080h，取10800000m</w:t>
            </w:r>
            <w:r>
              <w:rPr>
                <w:rFonts w:hint="eastAsia" w:hAnsi="Cambria Math" w:cs="Times New Roman"/>
                <w:bCs/>
                <w:i w:val="0"/>
                <w:color w:val="auto"/>
                <w:kern w:val="2"/>
                <w:sz w:val="24"/>
                <w:szCs w:val="24"/>
                <w:highlight w:val="none"/>
                <w:u w:val="none" w:color="auto"/>
                <w:vertAlign w:val="superscript"/>
                <w:lang w:val="en-US" w:eastAsia="zh-CN" w:bidi="ar-SA"/>
              </w:rPr>
              <w:t>3</w:t>
            </w:r>
          </w:p>
          <w:p>
            <w:pPr>
              <w:autoSpaceDE w:val="0"/>
              <w:autoSpaceDN w:val="0"/>
              <w:adjustRightInd w:val="0"/>
              <w:spacing w:line="360" w:lineRule="auto"/>
              <w:ind w:firstLine="1200" w:firstLineChars="500"/>
              <w:jc w:val="both"/>
              <w:rPr>
                <w:rFonts w:hint="eastAsia" w:hAnsi="Cambria Math" w:cs="Times New Roman"/>
                <w:i w:val="0"/>
                <w:color w:val="auto"/>
                <w:kern w:val="2"/>
                <w:sz w:val="24"/>
                <w:szCs w:val="24"/>
                <w:highlight w:val="none"/>
                <w:u w:val="none" w:color="auto"/>
                <w:vertAlign w:val="baseline"/>
                <w:lang w:val="en-US" w:eastAsia="zh-CN" w:bidi="ar-SA"/>
              </w:rPr>
            </w:pPr>
            <m:oMath>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NOx</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oMath>
            <w:r>
              <w:rPr>
                <w:rFonts w:hint="eastAsia" w:hAnsi="Cambria Math" w:cs="Times New Roman"/>
                <w:i w:val="0"/>
                <w:color w:val="auto"/>
                <w:kern w:val="2"/>
                <w:sz w:val="24"/>
                <w:szCs w:val="24"/>
                <w:highlight w:val="none"/>
                <w:u w:val="none" w:color="auto"/>
                <w:vertAlign w:val="baseline"/>
                <w:lang w:val="en-US" w:eastAsia="zh-CN" w:bidi="ar-SA"/>
              </w:rPr>
              <w:t xml:space="preserve"> ——</w:t>
            </w:r>
            <w:r>
              <w:rPr>
                <w:rFonts w:hint="eastAsia" w:hAnsi="Cambria Math" w:cs="Times New Roman"/>
                <w:bCs/>
                <w:i w:val="0"/>
                <w:color w:val="auto"/>
                <w:kern w:val="2"/>
                <w:sz w:val="24"/>
                <w:szCs w:val="24"/>
                <w:highlight w:val="none"/>
                <w:u w:val="none" w:color="auto"/>
                <w:vertAlign w:val="baseline"/>
                <w:lang w:val="en-US" w:eastAsia="zh-CN" w:bidi="ar-SA"/>
              </w:rPr>
              <w:t>脱销效率，%，取0</w:t>
            </w:r>
            <w:r>
              <w:rPr>
                <w:rFonts w:hint="eastAsia" w:hAnsi="Cambria Math" w:cs="Times New Roman"/>
                <w:i w:val="0"/>
                <w:color w:val="auto"/>
                <w:kern w:val="2"/>
                <w:sz w:val="24"/>
                <w:szCs w:val="24"/>
                <w:highlight w:val="none"/>
                <w:u w:val="none" w:color="auto"/>
                <w:vertAlign w:val="baseline"/>
                <w:lang w:val="en-US" w:eastAsia="zh-CN" w:bidi="ar-SA"/>
              </w:rPr>
              <w:t xml:space="preserve"> </w:t>
            </w:r>
          </w:p>
          <w:p>
            <w:pPr>
              <w:autoSpaceDE w:val="0"/>
              <w:autoSpaceDN w:val="0"/>
              <w:adjustRightInd w:val="0"/>
              <w:spacing w:line="360" w:lineRule="auto"/>
              <w:ind w:firstLine="480" w:firstLineChars="200"/>
              <w:jc w:val="both"/>
              <w:rPr>
                <w:rFonts w:hint="default" w:hAnsi="Cambria Math" w:cs="Times New Roman"/>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根据计算氮氧化物排放量=180mg/m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×10800000m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×10</w:t>
            </w:r>
            <w:r>
              <w:rPr>
                <w:rFonts w:hint="eastAsia" w:hAnsi="Cambria Math" w:cs="Times New Roman"/>
                <w:bCs/>
                <w:i w:val="0"/>
                <w:color w:val="auto"/>
                <w:kern w:val="2"/>
                <w:sz w:val="24"/>
                <w:szCs w:val="24"/>
                <w:highlight w:val="none"/>
                <w:u w:val="none" w:color="auto"/>
                <w:vertAlign w:val="superscript"/>
                <w:lang w:val="en-US" w:eastAsia="zh-CN" w:bidi="ar-SA"/>
              </w:rPr>
              <w:t>-9</w:t>
            </w:r>
            <w:r>
              <w:rPr>
                <w:rFonts w:hint="eastAsia" w:hAnsi="Cambria Math" w:cs="Times New Roman"/>
                <w:bCs/>
                <w:i w:val="0"/>
                <w:color w:val="auto"/>
                <w:kern w:val="2"/>
                <w:sz w:val="24"/>
                <w:szCs w:val="24"/>
                <w:highlight w:val="none"/>
                <w:u w:val="none" w:color="auto"/>
                <w:vertAlign w:val="baseline"/>
                <w:lang w:val="en-US" w:eastAsia="zh-CN" w:bidi="ar-SA"/>
              </w:rPr>
              <w:t>=1.944t/a，排放速率为1.8kg/h，排放浓度为180mg/m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w:t>
            </w:r>
          </w:p>
          <w:p>
            <w:pPr>
              <w:widowControl/>
              <w:spacing w:line="360" w:lineRule="auto"/>
              <w:ind w:firstLine="480" w:firstLineChars="200"/>
              <w:jc w:val="left"/>
              <w:rPr>
                <w:rFonts w:hint="default" w:eastAsia="宋体"/>
                <w:color w:val="auto"/>
                <w:lang w:val="en-US" w:eastAsia="zh-CN"/>
              </w:rPr>
            </w:pPr>
            <w:r>
              <w:rPr>
                <w:rFonts w:hint="eastAsia" w:ascii="Times New Roman" w:hAnsi="Times New Roman" w:eastAsia="宋体" w:cs="Times New Roman"/>
                <w:color w:val="auto"/>
                <w:sz w:val="24"/>
                <w:highlight w:val="none"/>
                <w:u w:val="none" w:color="auto"/>
                <w:lang w:val="en-US" w:eastAsia="zh-CN"/>
              </w:rPr>
              <w:t>本项目</w:t>
            </w:r>
            <w:r>
              <w:rPr>
                <w:rFonts w:hint="eastAsia" w:cs="Times New Roman"/>
                <w:color w:val="auto"/>
                <w:sz w:val="24"/>
                <w:highlight w:val="none"/>
                <w:u w:val="none" w:color="auto"/>
                <w:lang w:val="en-US" w:eastAsia="zh-CN"/>
              </w:rPr>
              <w:t>燃烧</w:t>
            </w:r>
            <w:r>
              <w:rPr>
                <w:rFonts w:hint="default" w:ascii="Times New Roman" w:hAnsi="Times New Roman" w:eastAsia="宋体" w:cs="Times New Roman"/>
                <w:color w:val="auto"/>
                <w:sz w:val="24"/>
                <w:highlight w:val="none"/>
                <w:u w:val="none" w:color="auto"/>
                <w:lang w:eastAsia="zh-CN"/>
              </w:rPr>
              <w:t>废气</w:t>
            </w:r>
            <w:r>
              <w:rPr>
                <w:rFonts w:hint="eastAsia" w:cs="Times New Roman"/>
                <w:color w:val="auto"/>
                <w:sz w:val="24"/>
                <w:highlight w:val="none"/>
                <w:u w:val="none" w:color="auto"/>
                <w:lang w:val="en-US" w:eastAsia="zh-CN"/>
              </w:rPr>
              <w:t>中</w:t>
            </w:r>
            <w:r>
              <w:rPr>
                <w:rFonts w:hint="default" w:ascii="Times New Roman" w:hAnsi="Times New Roman" w:eastAsia="宋体" w:cs="Times New Roman"/>
                <w:b w:val="0"/>
                <w:bCs w:val="0"/>
                <w:color w:val="auto"/>
                <w:sz w:val="24"/>
                <w:szCs w:val="24"/>
                <w:highlight w:val="none"/>
                <w:u w:val="none" w:color="auto"/>
                <w:lang w:val="en-US" w:eastAsia="zh-CN"/>
              </w:rPr>
              <w:t>SO</w:t>
            </w:r>
            <w:r>
              <w:rPr>
                <w:rFonts w:hint="default" w:ascii="Times New Roman" w:hAnsi="Times New Roman" w:eastAsia="宋体" w:cs="Times New Roman"/>
                <w:b w:val="0"/>
                <w:bCs w:val="0"/>
                <w:color w:val="auto"/>
                <w:sz w:val="24"/>
                <w:szCs w:val="24"/>
                <w:highlight w:val="none"/>
                <w:u w:val="none" w:color="auto"/>
                <w:vertAlign w:val="subscript"/>
                <w:lang w:val="en-US" w:eastAsia="zh-CN"/>
              </w:rPr>
              <w:t>2</w:t>
            </w:r>
            <w:r>
              <w:rPr>
                <w:rFonts w:hint="eastAsia" w:cs="Times New Roman"/>
                <w:color w:val="auto"/>
                <w:sz w:val="24"/>
                <w:highlight w:val="none"/>
                <w:u w:val="none" w:color="auto"/>
                <w:lang w:val="en-US" w:eastAsia="zh-CN"/>
              </w:rPr>
              <w:t>产生量和排放量为0.0005t/a，产生</w:t>
            </w:r>
            <w:r>
              <w:rPr>
                <w:rFonts w:hint="default" w:ascii="Times New Roman" w:hAnsi="Times New Roman" w:eastAsia="宋体" w:cs="Times New Roman"/>
                <w:b w:val="0"/>
                <w:bCs w:val="0"/>
                <w:color w:val="auto"/>
                <w:sz w:val="24"/>
                <w:szCs w:val="24"/>
                <w:highlight w:val="none"/>
                <w:u w:val="none" w:color="auto"/>
              </w:rPr>
              <w:t>速率</w:t>
            </w:r>
            <w:r>
              <w:rPr>
                <w:rFonts w:hint="eastAsia" w:cs="Times New Roman"/>
                <w:i w:val="0"/>
                <w:iCs w:val="0"/>
                <w:color w:val="auto"/>
                <w:kern w:val="0"/>
                <w:sz w:val="24"/>
                <w:szCs w:val="24"/>
                <w:highlight w:val="none"/>
                <w:u w:val="none" w:color="auto"/>
                <w:lang w:val="en-US" w:eastAsia="zh-CN" w:bidi="ar"/>
              </w:rPr>
              <w:t>0.0005</w:t>
            </w:r>
            <w:r>
              <w:rPr>
                <w:rFonts w:hint="default" w:ascii="Times New Roman" w:hAnsi="Times New Roman" w:eastAsia="宋体" w:cs="Times New Roman"/>
                <w:b w:val="0"/>
                <w:bCs w:val="0"/>
                <w:color w:val="auto"/>
                <w:sz w:val="24"/>
                <w:szCs w:val="24"/>
                <w:highlight w:val="none"/>
                <w:u w:val="none" w:color="auto"/>
              </w:rPr>
              <w:t>kg/h</w:t>
            </w:r>
            <w:r>
              <w:rPr>
                <w:rFonts w:hint="eastAsia" w:cs="Times New Roman"/>
                <w:b w:val="0"/>
                <w:bCs w:val="0"/>
                <w:color w:val="auto"/>
                <w:sz w:val="24"/>
                <w:szCs w:val="24"/>
                <w:highlight w:val="none"/>
                <w:u w:val="none" w:color="auto"/>
                <w:lang w:eastAsia="zh-CN"/>
              </w:rPr>
              <w:t>；</w:t>
            </w:r>
            <w:r>
              <w:rPr>
                <w:rFonts w:hint="default" w:ascii="Times New Roman" w:hAnsi="Times New Roman" w:eastAsia="宋体" w:cs="Times New Roman"/>
                <w:b w:val="0"/>
                <w:bCs w:val="0"/>
                <w:color w:val="auto"/>
                <w:sz w:val="24"/>
                <w:szCs w:val="24"/>
                <w:highlight w:val="none"/>
                <w:u w:val="none" w:color="auto"/>
                <w:lang w:val="en-US" w:eastAsia="zh-CN"/>
              </w:rPr>
              <w:t>NOx</w:t>
            </w:r>
            <w:r>
              <w:rPr>
                <w:rFonts w:hint="eastAsia" w:cs="Times New Roman"/>
                <w:color w:val="auto"/>
                <w:sz w:val="24"/>
                <w:highlight w:val="none"/>
                <w:u w:val="none" w:color="auto"/>
                <w:lang w:val="en-US" w:eastAsia="zh-CN"/>
              </w:rPr>
              <w:t>产生量和排放量为</w:t>
            </w:r>
            <w:r>
              <w:rPr>
                <w:rFonts w:hint="eastAsia" w:cs="Times New Roman"/>
                <w:i w:val="0"/>
                <w:iCs w:val="0"/>
                <w:color w:val="auto"/>
                <w:kern w:val="0"/>
                <w:sz w:val="24"/>
                <w:szCs w:val="24"/>
                <w:highlight w:val="none"/>
                <w:u w:val="none" w:color="auto"/>
                <w:lang w:val="en-US" w:eastAsia="zh-CN" w:bidi="ar"/>
              </w:rPr>
              <w:t>1.944</w:t>
            </w:r>
            <w:r>
              <w:rPr>
                <w:rFonts w:hint="eastAsia" w:cs="Times New Roman"/>
                <w:color w:val="auto"/>
                <w:sz w:val="24"/>
                <w:highlight w:val="none"/>
                <w:u w:val="none" w:color="auto"/>
                <w:lang w:val="en-US" w:eastAsia="zh-CN"/>
              </w:rPr>
              <w:t>t/a，产生</w:t>
            </w:r>
            <w:r>
              <w:rPr>
                <w:rFonts w:hint="default" w:ascii="Times New Roman" w:hAnsi="Times New Roman" w:eastAsia="宋体" w:cs="Times New Roman"/>
                <w:b w:val="0"/>
                <w:bCs w:val="0"/>
                <w:color w:val="auto"/>
                <w:sz w:val="24"/>
                <w:szCs w:val="24"/>
                <w:highlight w:val="none"/>
                <w:u w:val="none" w:color="auto"/>
              </w:rPr>
              <w:t>速率</w:t>
            </w:r>
            <w:r>
              <w:rPr>
                <w:rFonts w:hint="eastAsia" w:cs="Times New Roman"/>
                <w:i w:val="0"/>
                <w:iCs w:val="0"/>
                <w:color w:val="auto"/>
                <w:kern w:val="0"/>
                <w:sz w:val="24"/>
                <w:szCs w:val="24"/>
                <w:highlight w:val="none"/>
                <w:u w:val="none" w:color="auto"/>
                <w:lang w:val="en-US" w:eastAsia="zh-CN" w:bidi="ar"/>
              </w:rPr>
              <w:t>1.8</w:t>
            </w:r>
            <w:r>
              <w:rPr>
                <w:rFonts w:hint="default" w:ascii="Times New Roman" w:hAnsi="Times New Roman" w:eastAsia="宋体" w:cs="Times New Roman"/>
                <w:b w:val="0"/>
                <w:bCs w:val="0"/>
                <w:color w:val="auto"/>
                <w:sz w:val="24"/>
                <w:szCs w:val="24"/>
                <w:highlight w:val="none"/>
                <w:u w:val="none" w:color="auto"/>
              </w:rPr>
              <w:t>kg/h</w:t>
            </w:r>
            <w:r>
              <w:rPr>
                <w:rFonts w:hint="eastAsia" w:cs="Times New Roman"/>
                <w:b w:val="0"/>
                <w:bCs w:val="0"/>
                <w:color w:val="auto"/>
                <w:sz w:val="24"/>
                <w:szCs w:val="24"/>
                <w:highlight w:val="none"/>
                <w:u w:val="none" w:color="auto"/>
                <w:lang w:eastAsia="zh-CN"/>
              </w:rPr>
              <w:t>；</w:t>
            </w:r>
            <w:r>
              <w:rPr>
                <w:rFonts w:hint="default" w:ascii="Times New Roman" w:hAnsi="Times New Roman" w:eastAsia="宋体" w:cs="Times New Roman"/>
                <w:b w:val="0"/>
                <w:bCs w:val="0"/>
                <w:color w:val="auto"/>
                <w:sz w:val="24"/>
                <w:szCs w:val="24"/>
                <w:highlight w:val="none"/>
                <w:u w:val="none" w:color="auto"/>
                <w:lang w:eastAsia="zh-CN"/>
              </w:rPr>
              <w:t>颗粒物</w:t>
            </w:r>
            <w:r>
              <w:rPr>
                <w:rFonts w:hint="eastAsia" w:cs="Times New Roman"/>
                <w:color w:val="auto"/>
                <w:sz w:val="24"/>
                <w:highlight w:val="none"/>
                <w:u w:val="none" w:color="auto"/>
                <w:lang w:val="en-US" w:eastAsia="zh-CN"/>
              </w:rPr>
              <w:t>产生量为</w:t>
            </w:r>
            <w:r>
              <w:rPr>
                <w:rFonts w:hint="eastAsia" w:cs="Times New Roman"/>
                <w:i w:val="0"/>
                <w:iCs w:val="0"/>
                <w:color w:val="auto"/>
                <w:kern w:val="0"/>
                <w:sz w:val="24"/>
                <w:szCs w:val="24"/>
                <w:highlight w:val="none"/>
                <w:u w:val="none" w:color="auto"/>
                <w:lang w:val="en-US" w:eastAsia="zh-CN" w:bidi="ar"/>
              </w:rPr>
              <w:t>0.0068</w:t>
            </w:r>
            <w:r>
              <w:rPr>
                <w:rFonts w:hint="eastAsia" w:cs="Times New Roman"/>
                <w:color w:val="auto"/>
                <w:sz w:val="24"/>
                <w:highlight w:val="none"/>
                <w:u w:val="none" w:color="auto"/>
                <w:lang w:val="en-US" w:eastAsia="zh-CN"/>
              </w:rPr>
              <w:t>t/a，产生</w:t>
            </w:r>
            <w:r>
              <w:rPr>
                <w:rFonts w:hint="default" w:ascii="Times New Roman" w:hAnsi="Times New Roman" w:eastAsia="宋体" w:cs="Times New Roman"/>
                <w:b w:val="0"/>
                <w:bCs w:val="0"/>
                <w:color w:val="auto"/>
                <w:sz w:val="24"/>
                <w:szCs w:val="24"/>
                <w:highlight w:val="none"/>
                <w:u w:val="none" w:color="auto"/>
              </w:rPr>
              <w:t>速率</w:t>
            </w:r>
            <w:r>
              <w:rPr>
                <w:rFonts w:hint="default" w:ascii="Times New Roman" w:hAnsi="Times New Roman" w:eastAsia="宋体" w:cs="Times New Roman"/>
                <w:i w:val="0"/>
                <w:iCs w:val="0"/>
                <w:color w:val="auto"/>
                <w:kern w:val="0"/>
                <w:sz w:val="24"/>
                <w:szCs w:val="24"/>
                <w:highlight w:val="none"/>
                <w:u w:val="none" w:color="auto"/>
                <w:lang w:val="en-US" w:eastAsia="zh-CN" w:bidi="ar"/>
              </w:rPr>
              <w:t>0.</w:t>
            </w:r>
            <w:r>
              <w:rPr>
                <w:rFonts w:hint="eastAsia" w:ascii="Times New Roman" w:hAnsi="Times New Roman" w:cs="Times New Roman"/>
                <w:i w:val="0"/>
                <w:iCs w:val="0"/>
                <w:color w:val="auto"/>
                <w:kern w:val="0"/>
                <w:sz w:val="24"/>
                <w:szCs w:val="24"/>
                <w:highlight w:val="none"/>
                <w:u w:val="none" w:color="auto"/>
                <w:lang w:val="en-US" w:eastAsia="zh-CN" w:bidi="ar"/>
              </w:rPr>
              <w:t>0</w:t>
            </w:r>
            <w:r>
              <w:rPr>
                <w:rFonts w:hint="eastAsia" w:cs="Times New Roman"/>
                <w:i w:val="0"/>
                <w:iCs w:val="0"/>
                <w:color w:val="auto"/>
                <w:kern w:val="0"/>
                <w:sz w:val="24"/>
                <w:szCs w:val="24"/>
                <w:highlight w:val="none"/>
                <w:u w:val="none" w:color="auto"/>
                <w:lang w:val="en-US" w:eastAsia="zh-CN" w:bidi="ar"/>
              </w:rPr>
              <w:t>063</w:t>
            </w:r>
            <w:r>
              <w:rPr>
                <w:rFonts w:hint="default" w:ascii="Times New Roman" w:hAnsi="Times New Roman" w:eastAsia="宋体" w:cs="Times New Roman"/>
                <w:b w:val="0"/>
                <w:bCs w:val="0"/>
                <w:color w:val="auto"/>
                <w:sz w:val="24"/>
                <w:szCs w:val="24"/>
                <w:highlight w:val="none"/>
                <w:u w:val="none" w:color="auto"/>
              </w:rPr>
              <w:t>kg/h</w:t>
            </w:r>
            <w:r>
              <w:rPr>
                <w:rFonts w:hint="eastAsia" w:ascii="Times New Roman" w:hAnsi="Times New Roman" w:cs="Times New Roman"/>
                <w:b w:val="0"/>
                <w:bCs w:val="0"/>
                <w:color w:val="auto"/>
                <w:sz w:val="24"/>
                <w:szCs w:val="24"/>
                <w:highlight w:val="none"/>
                <w:u w:val="none" w:color="auto"/>
                <w:lang w:eastAsia="zh-CN"/>
              </w:rPr>
              <w:t>，</w:t>
            </w:r>
            <w:r>
              <w:rPr>
                <w:rFonts w:hint="eastAsia" w:ascii="Times New Roman" w:hAnsi="Times New Roman" w:cs="Times New Roman"/>
                <w:b w:val="0"/>
                <w:bCs w:val="0"/>
                <w:color w:val="auto"/>
                <w:sz w:val="24"/>
                <w:szCs w:val="24"/>
                <w:highlight w:val="none"/>
                <w:u w:val="none" w:color="auto"/>
                <w:lang w:val="en-US" w:eastAsia="zh-CN"/>
              </w:rPr>
              <w:t>排放量为0.000068t/a，0.000063kg/h</w:t>
            </w:r>
          </w:p>
          <w:p>
            <w:pPr>
              <w:adjustRightInd w:val="0"/>
              <w:snapToGrid w:val="0"/>
              <w:jc w:val="center"/>
              <w:rPr>
                <w:b/>
                <w:bCs/>
                <w:color w:val="auto"/>
              </w:rPr>
            </w:pPr>
            <w:r>
              <w:rPr>
                <w:rFonts w:hint="eastAsia"/>
                <w:b/>
                <w:bCs/>
                <w:color w:val="auto"/>
              </w:rPr>
              <w:t xml:space="preserve">表4-1  </w:t>
            </w:r>
            <w:r>
              <w:rPr>
                <w:rFonts w:hint="eastAsia"/>
                <w:b/>
                <w:bCs/>
                <w:color w:val="auto"/>
                <w:lang w:val="en-US" w:eastAsia="zh-CN"/>
              </w:rPr>
              <w:t>烘干+</w:t>
            </w:r>
            <w:r>
              <w:rPr>
                <w:rFonts w:hint="eastAsia"/>
                <w:b/>
                <w:bCs/>
                <w:color w:val="auto"/>
              </w:rPr>
              <w:t>燃烧器废气产排污情况一览表</w:t>
            </w:r>
          </w:p>
          <w:tbl>
            <w:tblPr>
              <w:tblStyle w:val="30"/>
              <w:tblW w:w="843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623"/>
              <w:gridCol w:w="740"/>
              <w:gridCol w:w="829"/>
              <w:gridCol w:w="799"/>
              <w:gridCol w:w="942"/>
              <w:gridCol w:w="804"/>
              <w:gridCol w:w="875"/>
              <w:gridCol w:w="1008"/>
              <w:gridCol w:w="976"/>
              <w:gridCol w:w="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623"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工序</w:t>
                  </w:r>
                </w:p>
              </w:tc>
              <w:tc>
                <w:tcPr>
                  <w:tcW w:w="74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污染物</w:t>
                  </w:r>
                </w:p>
              </w:tc>
              <w:tc>
                <w:tcPr>
                  <w:tcW w:w="829"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产生量</w:t>
                  </w:r>
                </w:p>
                <w:p>
                  <w:pPr>
                    <w:adjustRightInd w:val="0"/>
                    <w:snapToGrid w:val="0"/>
                    <w:jc w:val="center"/>
                    <w:rPr>
                      <w:rFonts w:hAnsi="宋体" w:cs="宋体"/>
                      <w:color w:val="auto"/>
                      <w:sz w:val="21"/>
                      <w:szCs w:val="21"/>
                    </w:rPr>
                  </w:pPr>
                  <w:r>
                    <w:rPr>
                      <w:rFonts w:hint="eastAsia" w:hAnsi="宋体" w:cs="宋体"/>
                      <w:color w:val="auto"/>
                      <w:sz w:val="21"/>
                      <w:szCs w:val="21"/>
                    </w:rPr>
                    <w:t>t/a</w:t>
                  </w:r>
                </w:p>
              </w:tc>
              <w:tc>
                <w:tcPr>
                  <w:tcW w:w="799"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产生速率kg/h</w:t>
                  </w:r>
                </w:p>
              </w:tc>
              <w:tc>
                <w:tcPr>
                  <w:tcW w:w="94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产生浓度mg/m</w:t>
                  </w:r>
                  <w:r>
                    <w:rPr>
                      <w:rFonts w:hint="eastAsia" w:hAnsi="宋体" w:cs="宋体"/>
                      <w:color w:val="auto"/>
                      <w:sz w:val="21"/>
                      <w:szCs w:val="21"/>
                      <w:vertAlign w:val="superscript"/>
                    </w:rPr>
                    <w:t>3</w:t>
                  </w:r>
                </w:p>
              </w:tc>
              <w:tc>
                <w:tcPr>
                  <w:tcW w:w="8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去除率</w:t>
                  </w:r>
                </w:p>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87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排放量t/a</w:t>
                  </w:r>
                </w:p>
              </w:tc>
              <w:tc>
                <w:tcPr>
                  <w:tcW w:w="100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排放速率kg/h</w:t>
                  </w:r>
                </w:p>
              </w:tc>
              <w:tc>
                <w:tcPr>
                  <w:tcW w:w="97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排放浓度mg/m</w:t>
                  </w:r>
                  <w:r>
                    <w:rPr>
                      <w:rFonts w:hint="eastAsia" w:hAnsi="宋体" w:cs="宋体"/>
                      <w:color w:val="auto"/>
                      <w:sz w:val="21"/>
                      <w:szCs w:val="21"/>
                      <w:vertAlign w:val="superscript"/>
                    </w:rPr>
                    <w:t>3</w:t>
                  </w:r>
                </w:p>
              </w:tc>
              <w:tc>
                <w:tcPr>
                  <w:tcW w:w="839"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运行时间h/a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623" w:type="dxa"/>
                  <w:vMerge w:val="restart"/>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燃烧器废气</w:t>
                  </w:r>
                </w:p>
              </w:tc>
              <w:tc>
                <w:tcPr>
                  <w:tcW w:w="74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c>
                <w:tcPr>
                  <w:tcW w:w="829"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35.361</w:t>
                  </w:r>
                </w:p>
              </w:tc>
              <w:tc>
                <w:tcPr>
                  <w:tcW w:w="799" w:type="dxa"/>
                  <w:tcBorders>
                    <w:tl2br w:val="nil"/>
                    <w:tr2bl w:val="nil"/>
                  </w:tcBorders>
                  <w:vAlign w:val="center"/>
                </w:tcPr>
                <w:p>
                  <w:pPr>
                    <w:adjustRightInd w:val="0"/>
                    <w:snapToGrid w:val="0"/>
                    <w:jc w:val="center"/>
                    <w:rPr>
                      <w:rFonts w:hint="default" w:hAnsi="宋体" w:cs="宋体"/>
                      <w:color w:val="auto"/>
                      <w:sz w:val="21"/>
                      <w:szCs w:val="21"/>
                      <w:lang w:val="en-US"/>
                    </w:rPr>
                  </w:pPr>
                  <w:r>
                    <w:rPr>
                      <w:rFonts w:hint="eastAsia" w:hAnsi="宋体" w:cs="宋体"/>
                      <w:color w:val="auto"/>
                      <w:sz w:val="21"/>
                      <w:szCs w:val="21"/>
                      <w:lang w:val="en-US" w:eastAsia="zh-CN"/>
                    </w:rPr>
                    <w:t>36.834</w:t>
                  </w:r>
                </w:p>
              </w:tc>
              <w:tc>
                <w:tcPr>
                  <w:tcW w:w="942"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3683.4</w:t>
                  </w:r>
                </w:p>
              </w:tc>
              <w:tc>
                <w:tcPr>
                  <w:tcW w:w="8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99</w:t>
                  </w:r>
                </w:p>
              </w:tc>
              <w:tc>
                <w:tcPr>
                  <w:tcW w:w="875"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0.364</w:t>
                  </w:r>
                </w:p>
              </w:tc>
              <w:tc>
                <w:tcPr>
                  <w:tcW w:w="100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0.368</w:t>
                  </w:r>
                </w:p>
              </w:tc>
              <w:tc>
                <w:tcPr>
                  <w:tcW w:w="976"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36.83</w:t>
                  </w:r>
                </w:p>
              </w:tc>
              <w:tc>
                <w:tcPr>
                  <w:tcW w:w="839" w:type="dxa"/>
                  <w:vMerge w:val="restart"/>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623"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740"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二氧化硫</w:t>
                  </w:r>
                </w:p>
              </w:tc>
              <w:tc>
                <w:tcPr>
                  <w:tcW w:w="829" w:type="dxa"/>
                  <w:tcBorders>
                    <w:tl2br w:val="nil"/>
                    <w:tr2bl w:val="nil"/>
                  </w:tcBorders>
                  <w:shd w:val="clear" w:color="auto" w:fill="auto"/>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0.0005</w:t>
                  </w:r>
                </w:p>
              </w:tc>
              <w:tc>
                <w:tcPr>
                  <w:tcW w:w="799" w:type="dxa"/>
                  <w:tcBorders>
                    <w:tl2br w:val="nil"/>
                    <w:tr2bl w:val="nil"/>
                  </w:tcBorders>
                  <w:shd w:val="clear" w:color="auto" w:fill="auto"/>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0.0005</w:t>
                  </w:r>
                </w:p>
              </w:tc>
              <w:tc>
                <w:tcPr>
                  <w:tcW w:w="942" w:type="dxa"/>
                  <w:tcBorders>
                    <w:tl2br w:val="nil"/>
                    <w:tr2bl w:val="nil"/>
                  </w:tcBorders>
                  <w:shd w:val="clear" w:color="auto" w:fill="auto"/>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0.5</w:t>
                  </w:r>
                </w:p>
              </w:tc>
              <w:tc>
                <w:tcPr>
                  <w:tcW w:w="804"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875"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0.0005</w:t>
                  </w:r>
                </w:p>
              </w:tc>
              <w:tc>
                <w:tcPr>
                  <w:tcW w:w="1008"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0.0005</w:t>
                  </w:r>
                </w:p>
              </w:tc>
              <w:tc>
                <w:tcPr>
                  <w:tcW w:w="976"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0.5</w:t>
                  </w:r>
                </w:p>
              </w:tc>
              <w:tc>
                <w:tcPr>
                  <w:tcW w:w="839" w:type="dxa"/>
                  <w:vMerge w:val="continue"/>
                  <w:tcBorders>
                    <w:tl2br w:val="nil"/>
                    <w:tr2bl w:val="nil"/>
                  </w:tcBorders>
                  <w:vAlign w:val="center"/>
                </w:tcPr>
                <w:p>
                  <w:pPr>
                    <w:adjustRightInd w:val="0"/>
                    <w:snapToGrid w:val="0"/>
                    <w:jc w:val="center"/>
                    <w:rPr>
                      <w:rFonts w:hAnsi="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623"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740"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氮氧化物</w:t>
                  </w:r>
                </w:p>
              </w:tc>
              <w:tc>
                <w:tcPr>
                  <w:tcW w:w="829" w:type="dxa"/>
                  <w:tcBorders>
                    <w:tl2br w:val="nil"/>
                    <w:tr2bl w:val="nil"/>
                  </w:tcBorders>
                  <w:shd w:val="clear" w:color="auto" w:fill="auto"/>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1.944</w:t>
                  </w:r>
                </w:p>
              </w:tc>
              <w:tc>
                <w:tcPr>
                  <w:tcW w:w="799" w:type="dxa"/>
                  <w:tcBorders>
                    <w:tl2br w:val="nil"/>
                    <w:tr2bl w:val="nil"/>
                  </w:tcBorders>
                  <w:shd w:val="clear" w:color="auto" w:fill="auto"/>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1.8</w:t>
                  </w:r>
                </w:p>
              </w:tc>
              <w:tc>
                <w:tcPr>
                  <w:tcW w:w="942" w:type="dxa"/>
                  <w:tcBorders>
                    <w:tl2br w:val="nil"/>
                    <w:tr2bl w:val="nil"/>
                  </w:tcBorders>
                  <w:shd w:val="clear" w:color="auto" w:fill="auto"/>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180</w:t>
                  </w:r>
                </w:p>
              </w:tc>
              <w:tc>
                <w:tcPr>
                  <w:tcW w:w="804"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875"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1.944</w:t>
                  </w:r>
                </w:p>
              </w:tc>
              <w:tc>
                <w:tcPr>
                  <w:tcW w:w="1008"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1.8</w:t>
                  </w:r>
                </w:p>
              </w:tc>
              <w:tc>
                <w:tcPr>
                  <w:tcW w:w="976"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180</w:t>
                  </w:r>
                </w:p>
              </w:tc>
              <w:tc>
                <w:tcPr>
                  <w:tcW w:w="839" w:type="dxa"/>
                  <w:vMerge w:val="continue"/>
                  <w:tcBorders>
                    <w:tl2br w:val="nil"/>
                    <w:tr2bl w:val="nil"/>
                  </w:tcBorders>
                  <w:vAlign w:val="center"/>
                </w:tcPr>
                <w:p>
                  <w:pPr>
                    <w:adjustRightInd w:val="0"/>
                    <w:snapToGrid w:val="0"/>
                    <w:jc w:val="center"/>
                    <w:rPr>
                      <w:rFonts w:hAnsi="宋体" w:cs="宋体"/>
                      <w:color w:val="auto"/>
                      <w:sz w:val="21"/>
                      <w:szCs w:val="21"/>
                    </w:rPr>
                  </w:pPr>
                </w:p>
              </w:tc>
            </w:tr>
          </w:tbl>
          <w:p>
            <w:pPr>
              <w:adjustRightInd w:val="0"/>
              <w:snapToGrid w:val="0"/>
              <w:spacing w:line="360" w:lineRule="auto"/>
              <w:ind w:firstLine="520" w:firstLineChars="200"/>
              <w:rPr>
                <w:color w:val="auto"/>
              </w:rPr>
            </w:pPr>
            <w:r>
              <w:rPr>
                <w:rFonts w:hint="eastAsia"/>
                <w:color w:val="auto"/>
                <w:spacing w:val="10"/>
              </w:rPr>
              <w:t>本项目</w:t>
            </w:r>
            <w:r>
              <w:rPr>
                <w:rFonts w:hint="eastAsia"/>
                <w:color w:val="auto"/>
                <w:spacing w:val="10"/>
                <w:lang w:val="en-US" w:eastAsia="zh-CN"/>
              </w:rPr>
              <w:t>干燥系统</w:t>
            </w:r>
            <w:r>
              <w:rPr>
                <w:rFonts w:hint="eastAsia"/>
                <w:color w:val="auto"/>
                <w:spacing w:val="10"/>
              </w:rPr>
              <w:t>产生的废气</w:t>
            </w:r>
            <w:r>
              <w:rPr>
                <w:rFonts w:hint="eastAsia"/>
                <w:color w:val="auto"/>
                <w:spacing w:val="10"/>
                <w:lang w:val="en-US" w:eastAsia="zh-CN"/>
              </w:rPr>
              <w:t>旋风+</w:t>
            </w:r>
            <w:r>
              <w:rPr>
                <w:rFonts w:hint="eastAsia"/>
                <w:color w:val="auto"/>
                <w:spacing w:val="10"/>
              </w:rPr>
              <w:t>布袋除尘装置处理，通过</w:t>
            </w:r>
            <w:r>
              <w:rPr>
                <w:rFonts w:hint="eastAsia"/>
                <w:color w:val="auto"/>
                <w:spacing w:val="10"/>
                <w:lang w:val="en-US" w:eastAsia="zh-CN"/>
              </w:rPr>
              <w:t>15</w:t>
            </w:r>
            <w:r>
              <w:rPr>
                <w:rFonts w:hint="eastAsia"/>
                <w:color w:val="auto"/>
                <w:spacing w:val="10"/>
              </w:rPr>
              <w:t>m高排气筒（DA002）排放，污染物排放满足</w:t>
            </w:r>
            <w:r>
              <w:rPr>
                <w:rFonts w:hint="default" w:ascii="Times New Roman" w:hAnsi="Times New Roman" w:cs="Times New Roman"/>
                <w:color w:val="auto"/>
                <w:szCs w:val="21"/>
              </w:rPr>
              <w:t>《大气污染物综合排放标准》</w:t>
            </w:r>
            <w:r>
              <w:rPr>
                <w:rFonts w:hint="eastAsia" w:cs="Times New Roman"/>
                <w:color w:val="auto"/>
                <w:szCs w:val="21"/>
                <w:lang w:eastAsia="zh-CN"/>
              </w:rPr>
              <w:t>（</w:t>
            </w:r>
            <w:r>
              <w:rPr>
                <w:rFonts w:hint="default" w:ascii="Times New Roman" w:hAnsi="Times New Roman" w:cs="Times New Roman"/>
                <w:color w:val="auto"/>
                <w:szCs w:val="21"/>
              </w:rPr>
              <w:t>GB16297-1996</w:t>
            </w:r>
            <w:r>
              <w:rPr>
                <w:rFonts w:hint="eastAsia" w:cs="Times New Roman"/>
                <w:color w:val="auto"/>
                <w:szCs w:val="21"/>
                <w:lang w:eastAsia="zh-CN"/>
              </w:rPr>
              <w:t>）</w:t>
            </w:r>
            <w:r>
              <w:rPr>
                <w:rFonts w:hint="eastAsia"/>
                <w:color w:val="auto"/>
                <w:spacing w:val="10"/>
              </w:rPr>
              <w:t>限值要求。</w:t>
            </w:r>
          </w:p>
          <w:p>
            <w:pPr>
              <w:adjustRightInd w:val="0"/>
              <w:snapToGrid w:val="0"/>
              <w:spacing w:line="360" w:lineRule="auto"/>
              <w:ind w:firstLine="480" w:firstLineChars="200"/>
              <w:rPr>
                <w:color w:val="auto"/>
              </w:rPr>
            </w:pPr>
            <w:r>
              <w:rPr>
                <w:rFonts w:hint="eastAsia"/>
                <w:color w:val="auto"/>
              </w:rPr>
              <w:t>⑤导热油炉废气</w:t>
            </w:r>
          </w:p>
          <w:p>
            <w:pPr>
              <w:adjustRightInd w:val="0"/>
              <w:snapToGrid w:val="0"/>
              <w:spacing w:line="360" w:lineRule="auto"/>
              <w:ind w:firstLine="480" w:firstLineChars="200"/>
              <w:rPr>
                <w:color w:val="auto"/>
              </w:rPr>
            </w:pPr>
            <w:r>
              <w:rPr>
                <w:rFonts w:hint="eastAsia"/>
                <w:color w:val="auto"/>
              </w:rPr>
              <w:t>本项目设置一台</w:t>
            </w:r>
            <w:r>
              <w:rPr>
                <w:rFonts w:hint="eastAsia"/>
                <w:color w:val="auto"/>
                <w:lang w:val="en-US" w:eastAsia="zh-CN"/>
              </w:rPr>
              <w:t>1.5</w:t>
            </w:r>
            <w:r>
              <w:rPr>
                <w:rFonts w:hint="eastAsia"/>
                <w:color w:val="auto"/>
              </w:rPr>
              <w:t>MW的导热油炉，以</w:t>
            </w:r>
            <w:r>
              <w:rPr>
                <w:rFonts w:hint="eastAsia"/>
                <w:color w:val="auto"/>
                <w:lang w:val="en-US" w:eastAsia="zh-CN"/>
              </w:rPr>
              <w:t>天然气</w:t>
            </w:r>
            <w:r>
              <w:rPr>
                <w:rFonts w:hint="eastAsia"/>
                <w:color w:val="auto"/>
              </w:rPr>
              <w:t>作为燃料。</w:t>
            </w:r>
          </w:p>
          <w:p>
            <w:pPr>
              <w:adjustRightInd w:val="0"/>
              <w:snapToGrid w:val="0"/>
              <w:spacing w:line="360" w:lineRule="auto"/>
              <w:ind w:firstLine="480" w:firstLineChars="200"/>
              <w:rPr>
                <w:color w:val="auto"/>
              </w:rPr>
            </w:pPr>
            <w:r>
              <w:rPr>
                <w:rFonts w:hint="eastAsia"/>
                <w:color w:val="auto"/>
              </w:rPr>
              <w:t>导热油炉烟气</w:t>
            </w:r>
          </w:p>
          <w:p>
            <w:pPr>
              <w:adjustRightInd w:val="0"/>
              <w:snapToGrid w:val="0"/>
              <w:spacing w:line="360" w:lineRule="auto"/>
              <w:ind w:firstLine="480" w:firstLineChars="200"/>
              <w:rPr>
                <w:rFonts w:hint="default"/>
                <w:color w:val="auto"/>
                <w:lang w:val="en-US"/>
              </w:rPr>
            </w:pPr>
            <w:r>
              <w:rPr>
                <w:rFonts w:hint="eastAsia"/>
                <w:color w:val="auto"/>
              </w:rPr>
              <w:t>本项目采用燃气锅炉，根据《污染源源强核算技术指南锅炉》（HJ991-2018）中给出的方法进行核算。《污染源源强核算技术指南锅炉》（HJ991-2018）</w:t>
            </w:r>
            <w:r>
              <w:rPr>
                <w:rFonts w:hint="default" w:ascii="Times New Roman" w:hAnsi="Times New Roman" w:eastAsia="宋体" w:cs="Times New Roman"/>
                <w:color w:val="auto"/>
                <w:sz w:val="24"/>
                <w:szCs w:val="24"/>
                <w:highlight w:val="none"/>
                <w:lang w:val="en-US" w:eastAsia="zh-CN"/>
              </w:rPr>
              <w:t>中优先采用物料衡算计算公式进行计算，</w:t>
            </w:r>
            <w:r>
              <w:rPr>
                <w:rFonts w:hint="eastAsia" w:eastAsia="宋体" w:cs="Times New Roman"/>
                <w:color w:val="auto"/>
                <w:sz w:val="24"/>
                <w:szCs w:val="24"/>
                <w:highlight w:val="none"/>
                <w:lang w:val="en-US" w:eastAsia="zh-CN"/>
              </w:rPr>
              <w:t>其次</w:t>
            </w:r>
            <w:r>
              <w:rPr>
                <w:rFonts w:hint="default" w:ascii="Times New Roman" w:hAnsi="Times New Roman" w:eastAsia="宋体" w:cs="Times New Roman"/>
                <w:color w:val="auto"/>
                <w:sz w:val="24"/>
                <w:szCs w:val="24"/>
                <w:highlight w:val="none"/>
                <w:lang w:val="en-US" w:eastAsia="zh-CN"/>
              </w:rPr>
              <w:t>可采用产污系数法，</w:t>
            </w:r>
            <w:r>
              <w:rPr>
                <w:rFonts w:hint="eastAsia" w:eastAsia="宋体" w:cs="Times New Roman"/>
                <w:color w:val="auto"/>
                <w:sz w:val="24"/>
                <w:szCs w:val="24"/>
                <w:highlight w:val="none"/>
                <w:lang w:val="en-US" w:eastAsia="zh-CN"/>
              </w:rPr>
              <w:t>因此本项目优先采用物料衡算法，无物料衡算公式的采用产污系数法。</w:t>
            </w:r>
          </w:p>
          <w:p>
            <w:pPr>
              <w:adjustRightInd w:val="0"/>
              <w:snapToGrid w:val="0"/>
              <w:spacing w:line="360" w:lineRule="auto"/>
              <w:ind w:firstLine="480" w:firstLineChars="200"/>
              <w:rPr>
                <w:color w:val="auto"/>
              </w:rPr>
            </w:pPr>
            <w:r>
              <w:rPr>
                <w:rFonts w:hint="eastAsia"/>
                <w:color w:val="auto"/>
              </w:rPr>
              <w:t>a烟气量</w:t>
            </w:r>
          </w:p>
          <w:p>
            <w:pPr>
              <w:adjustRightInd w:val="0"/>
              <w:snapToGrid w:val="0"/>
              <w:spacing w:line="360" w:lineRule="auto"/>
              <w:ind w:firstLine="480" w:firstLineChars="200"/>
              <w:rPr>
                <w:rFonts w:hint="eastAsia" w:ascii="Times New Roman" w:hAnsi="Times New Roman" w:eastAsia="宋体" w:cs="Times New Roman"/>
                <w:color w:val="auto"/>
              </w:rPr>
            </w:pPr>
            <w:r>
              <w:rPr>
                <w:rFonts w:hint="eastAsia"/>
                <w:color w:val="auto"/>
              </w:rPr>
              <w:t>本项目导热油炉燃</w:t>
            </w:r>
            <w:r>
              <w:rPr>
                <w:rFonts w:hint="eastAsia"/>
                <w:color w:val="auto"/>
                <w:lang w:val="en-US" w:eastAsia="zh-CN"/>
              </w:rPr>
              <w:t>料</w:t>
            </w:r>
            <w:r>
              <w:rPr>
                <w:rFonts w:hint="eastAsia" w:ascii="Times New Roman" w:hAnsi="Times New Roman" w:eastAsia="宋体" w:cs="Times New Roman"/>
                <w:color w:val="auto"/>
              </w:rPr>
              <w:t>为</w:t>
            </w:r>
            <w:r>
              <w:rPr>
                <w:rFonts w:hint="eastAsia" w:cs="Times New Roman"/>
                <w:color w:val="auto"/>
                <w:lang w:val="en-US" w:eastAsia="zh-CN"/>
              </w:rPr>
              <w:t>柴油</w:t>
            </w:r>
            <w:r>
              <w:rPr>
                <w:rFonts w:hint="eastAsia" w:ascii="Times New Roman" w:hAnsi="Times New Roman" w:eastAsia="宋体" w:cs="Times New Roman"/>
                <w:color w:val="auto"/>
              </w:rPr>
              <w:t>，</w:t>
            </w:r>
            <w:r>
              <w:rPr>
                <w:rFonts w:hint="default" w:ascii="Times New Roman" w:hAnsi="Times New Roman" w:eastAsia="宋体" w:cs="Times New Roman"/>
                <w:color w:val="auto"/>
              </w:rPr>
              <w:t>沥青加热使用1台</w:t>
            </w:r>
            <w:r>
              <w:rPr>
                <w:rFonts w:hint="eastAsia" w:cs="Times New Roman"/>
                <w:color w:val="auto"/>
                <w:lang w:val="en-US" w:eastAsia="zh-CN"/>
              </w:rPr>
              <w:t>1.5</w:t>
            </w:r>
            <w:r>
              <w:rPr>
                <w:rFonts w:hint="eastAsia" w:ascii="Times New Roman" w:hAnsi="Times New Roman" w:eastAsia="宋体" w:cs="Times New Roman"/>
                <w:color w:val="auto"/>
                <w:lang w:val="en-US" w:eastAsia="zh-CN"/>
              </w:rPr>
              <w:t>MW</w:t>
            </w:r>
            <w:r>
              <w:rPr>
                <w:rFonts w:hint="default" w:ascii="Times New Roman" w:hAnsi="Times New Roman" w:eastAsia="宋体" w:cs="Times New Roman"/>
                <w:color w:val="auto"/>
              </w:rPr>
              <w:t>的燃生物质导热油炉将石油沥青加热至150～180℃，本项目年使用沥青</w:t>
            </w:r>
            <w:r>
              <w:rPr>
                <w:rFonts w:hint="eastAsia" w:ascii="Times New Roman" w:hAnsi="Times New Roman" w:eastAsia="宋体" w:cs="Times New Roman"/>
                <w:color w:val="auto"/>
                <w:lang w:val="en-US" w:eastAsia="zh-CN"/>
              </w:rPr>
              <w:t>10530</w:t>
            </w:r>
            <w:r>
              <w:rPr>
                <w:rFonts w:hint="default" w:ascii="Times New Roman" w:hAnsi="Times New Roman" w:eastAsia="宋体" w:cs="Times New Roman"/>
                <w:color w:val="auto"/>
              </w:rPr>
              <w:t>t/a</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沥青比热容为2.0kJ/kg·℃。沥青温度变化由20度升至180度，温度变化160度。燃烧效率按85%计，导热油热传递效率88%计，</w:t>
            </w:r>
            <w:r>
              <w:rPr>
                <w:rFonts w:hint="eastAsia" w:cs="Times New Roman"/>
                <w:color w:val="auto"/>
                <w:lang w:val="en-US" w:eastAsia="zh-CN"/>
              </w:rPr>
              <w:t>柴油</w:t>
            </w:r>
            <w:r>
              <w:rPr>
                <w:rFonts w:hint="default" w:ascii="Times New Roman" w:hAnsi="Times New Roman" w:eastAsia="宋体" w:cs="Times New Roman"/>
                <w:color w:val="auto"/>
              </w:rPr>
              <w:t>燃料热值为</w:t>
            </w:r>
            <w:r>
              <w:rPr>
                <w:rFonts w:hint="eastAsia"/>
                <w:bCs/>
                <w:color w:val="auto"/>
                <w:sz w:val="24"/>
                <w:szCs w:val="24"/>
                <w:lang w:val="en-US" w:eastAsia="zh-CN"/>
              </w:rPr>
              <w:t>42.7</w:t>
            </w:r>
            <w:r>
              <w:rPr>
                <w:rFonts w:hint="eastAsia" w:ascii="Times New Roman" w:hAnsi="Times New Roman"/>
                <w:bCs/>
                <w:color w:val="auto"/>
                <w:sz w:val="24"/>
                <w:szCs w:val="24"/>
                <w:lang w:val="en-US" w:eastAsia="zh-CN"/>
              </w:rPr>
              <w:t>M</w:t>
            </w:r>
            <w:r>
              <w:rPr>
                <w:rFonts w:hint="default" w:ascii="Times New Roman" w:hAnsi="Times New Roman"/>
                <w:bCs/>
                <w:color w:val="auto"/>
                <w:sz w:val="24"/>
                <w:szCs w:val="24"/>
              </w:rPr>
              <w:t>J/</w:t>
            </w:r>
            <w:r>
              <w:rPr>
                <w:rFonts w:hint="eastAsia"/>
                <w:bCs/>
                <w:color w:val="auto"/>
                <w:sz w:val="24"/>
                <w:szCs w:val="24"/>
                <w:lang w:val="en-US" w:eastAsia="zh-CN"/>
              </w:rPr>
              <w:t>kg</w:t>
            </w:r>
            <w:r>
              <w:rPr>
                <w:rFonts w:hint="default" w:ascii="Times New Roman" w:hAnsi="Times New Roman" w:eastAsia="宋体" w:cs="Times New Roman"/>
                <w:color w:val="auto"/>
              </w:rPr>
              <w:t>。总需热量为=</w:t>
            </w:r>
            <w:r>
              <w:rPr>
                <w:rFonts w:hint="eastAsia" w:ascii="Times New Roman" w:hAnsi="Times New Roman" w:eastAsia="宋体" w:cs="Times New Roman"/>
                <w:color w:val="auto"/>
                <w:lang w:val="en-US" w:eastAsia="zh-CN"/>
              </w:rPr>
              <w:t>10530000</w:t>
            </w:r>
            <w:r>
              <w:rPr>
                <w:rFonts w:hint="default" w:ascii="Times New Roman" w:hAnsi="Times New Roman" w:eastAsia="宋体" w:cs="Times New Roman"/>
                <w:color w:val="auto"/>
              </w:rPr>
              <w:t>kg×2.0kJ/kg·℃×160℃=</w:t>
            </w:r>
            <w:r>
              <w:rPr>
                <w:rFonts w:hint="eastAsia" w:ascii="Times New Roman" w:hAnsi="Times New Roman" w:eastAsia="宋体" w:cs="Times New Roman"/>
                <w:color w:val="auto"/>
                <w:lang w:val="en-US" w:eastAsia="zh-CN"/>
              </w:rPr>
              <w:t>3369600</w:t>
            </w:r>
            <w:r>
              <w:rPr>
                <w:rFonts w:hint="default" w:ascii="Times New Roman" w:hAnsi="Times New Roman" w:eastAsia="宋体" w:cs="Times New Roman"/>
                <w:color w:val="auto"/>
              </w:rPr>
              <w:t>MJ。</w:t>
            </w:r>
            <w:r>
              <w:rPr>
                <w:rFonts w:hint="eastAsia" w:ascii="Times New Roman" w:hAnsi="Times New Roman" w:eastAsia="宋体" w:cs="Times New Roman"/>
                <w:color w:val="auto"/>
                <w:lang w:val="en-US" w:eastAsia="zh-CN"/>
              </w:rPr>
              <w:t>考虑沥青每小时温度降低1℃，本项目沥青储存量为</w:t>
            </w:r>
            <w:r>
              <w:rPr>
                <w:rFonts w:hint="eastAsia" w:cs="Times New Roman"/>
                <w:color w:val="auto"/>
                <w:lang w:val="en-US" w:eastAsia="zh-CN"/>
              </w:rPr>
              <w:t>65</w:t>
            </w:r>
            <w:r>
              <w:rPr>
                <w:rFonts w:hint="eastAsia" w:ascii="Times New Roman" w:hAnsi="Times New Roman" w:eastAsia="宋体" w:cs="Times New Roman"/>
                <w:color w:val="auto"/>
                <w:lang w:val="en-US" w:eastAsia="zh-CN"/>
              </w:rPr>
              <w:t>0t，为保证现场储存的沥青不凝固，保温状态下所需热量为=</w:t>
            </w:r>
            <w:r>
              <w:rPr>
                <w:rFonts w:hint="eastAsia" w:cs="Times New Roman"/>
                <w:color w:val="auto"/>
                <w:lang w:val="en-US" w:eastAsia="zh-CN"/>
              </w:rPr>
              <w:t>65</w:t>
            </w:r>
            <w:r>
              <w:rPr>
                <w:rFonts w:hint="eastAsia" w:ascii="Times New Roman" w:hAnsi="Times New Roman" w:eastAsia="宋体" w:cs="Times New Roman"/>
                <w:color w:val="auto"/>
                <w:lang w:val="en-US" w:eastAsia="zh-CN"/>
              </w:rPr>
              <w:t>0000kg</w:t>
            </w:r>
            <w:r>
              <w:rPr>
                <w:rFonts w:hint="default" w:ascii="Times New Roman" w:hAnsi="Times New Roman" w:eastAsia="宋体" w:cs="Times New Roman"/>
                <w:color w:val="auto"/>
              </w:rPr>
              <w:t>×2.0kJ/kg·℃×1℃</w:t>
            </w:r>
            <w:r>
              <w:rPr>
                <w:rFonts w:hint="eastAsia" w:ascii="Times New Roman" w:hAnsi="Times New Roman" w:eastAsia="宋体" w:cs="Times New Roman"/>
                <w:color w:val="auto"/>
                <w:lang w:val="en-US" w:eastAsia="zh-CN"/>
              </w:rPr>
              <w:t>×120d×24h</w:t>
            </w:r>
            <w:r>
              <w:rPr>
                <w:rFonts w:hint="default" w:ascii="Times New Roman" w:hAnsi="Times New Roman" w:eastAsia="宋体" w:cs="Times New Roman"/>
                <w:color w:val="auto"/>
              </w:rPr>
              <w:t>=</w:t>
            </w:r>
            <w:r>
              <w:rPr>
                <w:rFonts w:hint="eastAsia" w:cs="Times New Roman"/>
                <w:color w:val="auto"/>
                <w:lang w:val="en-US" w:eastAsia="zh-CN"/>
              </w:rPr>
              <w:t>3744000</w:t>
            </w:r>
            <w:r>
              <w:rPr>
                <w:rFonts w:hint="default" w:ascii="Times New Roman" w:hAnsi="Times New Roman" w:eastAsia="宋体" w:cs="Times New Roman"/>
                <w:color w:val="auto"/>
              </w:rPr>
              <w:t>MJ。考虑燃烧效率和传递效率，则总</w:t>
            </w:r>
            <w:r>
              <w:rPr>
                <w:rFonts w:hint="eastAsia" w:ascii="Times New Roman" w:hAnsi="Times New Roman" w:eastAsia="宋体" w:cs="Times New Roman"/>
                <w:color w:val="auto"/>
                <w:lang w:val="en-US" w:eastAsia="zh-CN"/>
              </w:rPr>
              <w:t>需</w:t>
            </w:r>
            <w:r>
              <w:rPr>
                <w:rFonts w:hint="default" w:ascii="Times New Roman" w:hAnsi="Times New Roman" w:eastAsia="宋体" w:cs="Times New Roman"/>
                <w:color w:val="auto"/>
              </w:rPr>
              <w:t>热量为</w:t>
            </w:r>
            <w:r>
              <w:rPr>
                <w:rFonts w:hint="eastAsia" w:cs="Times New Roman"/>
                <w:color w:val="auto"/>
                <w:lang w:val="en-US" w:eastAsia="zh-CN"/>
              </w:rPr>
              <w:t>7113600</w:t>
            </w:r>
            <w:r>
              <w:rPr>
                <w:rFonts w:hint="default" w:ascii="Times New Roman" w:hAnsi="Times New Roman" w:eastAsia="宋体" w:cs="Times New Roman"/>
                <w:color w:val="auto"/>
              </w:rPr>
              <w:t>MJ/（0.85×0.88）=9510160MJ。燃料需要量=</w:t>
            </w:r>
            <w:r>
              <w:rPr>
                <w:rFonts w:hint="eastAsia" w:cs="Times New Roman"/>
                <w:color w:val="auto"/>
                <w:lang w:val="en-US" w:eastAsia="zh-CN"/>
              </w:rPr>
              <w:t>柴油</w:t>
            </w:r>
            <w:r>
              <w:rPr>
                <w:rFonts w:hint="default" w:ascii="Times New Roman" w:hAnsi="Times New Roman" w:eastAsia="宋体" w:cs="Times New Roman"/>
                <w:color w:val="auto"/>
              </w:rPr>
              <w:t>产生热量/</w:t>
            </w:r>
            <w:r>
              <w:rPr>
                <w:rFonts w:hint="eastAsia" w:cs="Times New Roman"/>
                <w:color w:val="auto"/>
                <w:lang w:val="en-US" w:eastAsia="zh-CN"/>
              </w:rPr>
              <w:t>柴油</w:t>
            </w:r>
            <w:r>
              <w:rPr>
                <w:rFonts w:hint="default" w:ascii="Times New Roman" w:hAnsi="Times New Roman" w:eastAsia="宋体" w:cs="Times New Roman"/>
                <w:color w:val="auto"/>
              </w:rPr>
              <w:t>燃料热值=9510160MJ/</w:t>
            </w:r>
            <w:r>
              <w:rPr>
                <w:rFonts w:hint="eastAsia"/>
                <w:bCs/>
                <w:color w:val="auto"/>
                <w:sz w:val="24"/>
                <w:szCs w:val="24"/>
                <w:lang w:val="en-US" w:eastAsia="zh-CN"/>
              </w:rPr>
              <w:t>42.7</w:t>
            </w:r>
            <w:r>
              <w:rPr>
                <w:rFonts w:hint="eastAsia" w:ascii="Times New Roman" w:hAnsi="Times New Roman"/>
                <w:bCs/>
                <w:color w:val="auto"/>
                <w:sz w:val="24"/>
                <w:szCs w:val="24"/>
                <w:lang w:val="en-US" w:eastAsia="zh-CN"/>
              </w:rPr>
              <w:t>M</w:t>
            </w:r>
            <w:r>
              <w:rPr>
                <w:rFonts w:hint="default" w:ascii="Times New Roman" w:hAnsi="Times New Roman"/>
                <w:bCs/>
                <w:color w:val="auto"/>
                <w:sz w:val="24"/>
                <w:szCs w:val="24"/>
              </w:rPr>
              <w:t>J/</w:t>
            </w:r>
            <w:r>
              <w:rPr>
                <w:rFonts w:hint="eastAsia"/>
                <w:bCs/>
                <w:color w:val="auto"/>
                <w:sz w:val="24"/>
                <w:szCs w:val="24"/>
                <w:lang w:val="en-US" w:eastAsia="zh-CN"/>
              </w:rPr>
              <w:t>kg</w:t>
            </w:r>
            <w:r>
              <w:rPr>
                <w:rFonts w:hint="default" w:ascii="Times New Roman" w:hAnsi="Times New Roman" w:eastAsia="宋体" w:cs="Times New Roman"/>
                <w:color w:val="auto"/>
              </w:rPr>
              <w:t>=</w:t>
            </w:r>
            <w:r>
              <w:rPr>
                <w:rFonts w:hint="eastAsia" w:cs="Times New Roman"/>
                <w:color w:val="auto"/>
                <w:lang w:val="en-US" w:eastAsia="zh-CN"/>
              </w:rPr>
              <w:t>222720kg=222.72t</w:t>
            </w:r>
            <w:r>
              <w:rPr>
                <w:rFonts w:hint="eastAsia" w:ascii="Times New Roman" w:hAnsi="Times New Roman" w:eastAsia="宋体" w:cs="Times New Roman"/>
                <w:color w:val="auto"/>
              </w:rPr>
              <w:t>。</w:t>
            </w:r>
          </w:p>
          <w:p>
            <w:pPr>
              <w:adjustRightInd w:val="0"/>
              <w:snapToGrid w:val="0"/>
              <w:spacing w:line="360" w:lineRule="auto"/>
              <w:ind w:firstLine="480" w:firstLineChars="200"/>
              <w:rPr>
                <w:color w:val="auto"/>
                <w:spacing w:val="6"/>
              </w:rPr>
            </w:pPr>
            <w:r>
              <w:rPr>
                <w:rFonts w:hint="eastAsia"/>
                <w:color w:val="auto"/>
              </w:rPr>
              <w:t>根据《排放源统计调查产排污核算方法和系数手册》行业系数手册中工业锅炉（热力工业）产污系数表燃</w:t>
            </w:r>
            <w:r>
              <w:rPr>
                <w:rFonts w:hint="eastAsia"/>
                <w:color w:val="auto"/>
                <w:lang w:val="en-US" w:eastAsia="zh-CN"/>
              </w:rPr>
              <w:t>油</w:t>
            </w:r>
            <w:r>
              <w:rPr>
                <w:rFonts w:hint="eastAsia"/>
                <w:color w:val="auto"/>
              </w:rPr>
              <w:t>工业锅炉中工业废气产污系数为</w:t>
            </w:r>
            <w:r>
              <w:rPr>
                <w:rFonts w:hint="eastAsia"/>
                <w:color w:val="auto"/>
                <w:lang w:val="en-US" w:eastAsia="zh-CN"/>
              </w:rPr>
              <w:t>17804</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吨</w:t>
            </w:r>
            <w:r>
              <w:rPr>
                <w:rFonts w:hint="eastAsia"/>
                <w:color w:val="auto"/>
              </w:rPr>
              <w:t>-原料，项目</w:t>
            </w:r>
            <w:r>
              <w:rPr>
                <w:rFonts w:hint="eastAsia"/>
                <w:color w:val="auto"/>
                <w:lang w:val="en-US" w:eastAsia="zh-CN"/>
              </w:rPr>
              <w:t>导热油炉</w:t>
            </w:r>
            <w:r>
              <w:rPr>
                <w:rFonts w:hint="eastAsia"/>
                <w:color w:val="auto"/>
              </w:rPr>
              <w:t>产生废气</w:t>
            </w:r>
            <w:r>
              <w:rPr>
                <w:rFonts w:hint="eastAsia"/>
                <w:color w:val="auto"/>
                <w:lang w:val="en-US" w:eastAsia="zh-CN"/>
              </w:rPr>
              <w:t>3965306.88</w:t>
            </w:r>
            <w:r>
              <w:rPr>
                <w:rFonts w:hint="eastAsia"/>
                <w:color w:val="auto"/>
              </w:rPr>
              <w:t>m</w:t>
            </w:r>
            <w:r>
              <w:rPr>
                <w:rFonts w:hint="eastAsia"/>
                <w:color w:val="auto"/>
                <w:vertAlign w:val="superscript"/>
              </w:rPr>
              <w:t>3</w:t>
            </w:r>
            <w:r>
              <w:rPr>
                <w:rFonts w:hint="eastAsia"/>
                <w:color w:val="auto"/>
              </w:rPr>
              <w:t>/a</w:t>
            </w:r>
          </w:p>
          <w:p>
            <w:pPr>
              <w:adjustRightInd w:val="0"/>
              <w:snapToGrid w:val="0"/>
              <w:spacing w:line="360" w:lineRule="auto"/>
              <w:ind w:firstLine="504" w:firstLineChars="200"/>
              <w:rPr>
                <w:color w:val="auto"/>
                <w:spacing w:val="6"/>
              </w:rPr>
            </w:pPr>
            <w:r>
              <w:rPr>
                <w:rFonts w:hint="eastAsia"/>
                <w:color w:val="auto"/>
                <w:spacing w:val="6"/>
              </w:rPr>
              <w:t>b颗粒物</w:t>
            </w:r>
          </w:p>
          <w:p>
            <w:pPr>
              <w:autoSpaceDE w:val="0"/>
              <w:autoSpaceDN w:val="0"/>
              <w:adjustRightInd w:val="0"/>
              <w:spacing w:line="360" w:lineRule="auto"/>
              <w:ind w:firstLine="480" w:firstLineChars="200"/>
              <w:jc w:val="both"/>
              <w:rPr>
                <w:rFonts w:hint="default" w:hAnsi="Cambria Math" w:cs="Times New Roman"/>
                <w:i w:val="0"/>
                <w:color w:val="auto"/>
                <w:kern w:val="2"/>
                <w:sz w:val="24"/>
                <w:szCs w:val="24"/>
                <w:highlight w:val="none"/>
                <w:u w:val="none" w:color="auto"/>
                <w:vertAlign w:val="baseline"/>
                <w:lang w:val="en-US" w:eastAsia="zh-CN" w:bidi="ar-SA"/>
              </w:rPr>
            </w:pPr>
            <w:r>
              <w:rPr>
                <w:rFonts w:hint="default" w:ascii="Times New Roman" w:hAnsi="Times New Roman" w:cs="Times New Roman"/>
                <w:bCs/>
                <w:color w:val="auto"/>
                <w:sz w:val="24"/>
                <w:szCs w:val="24"/>
                <w:highlight w:val="none"/>
                <w:u w:val="none" w:color="auto"/>
                <w:vertAlign w:val="baseline"/>
                <w:lang w:val="en-US" w:eastAsia="zh-CN"/>
              </w:rPr>
              <w:t>颗粒物</w:t>
            </w:r>
            <w:r>
              <w:rPr>
                <w:rFonts w:hint="eastAsia" w:ascii="Times New Roman" w:hAnsi="Times New Roman" w:cs="Times New Roman"/>
                <w:bCs/>
                <w:color w:val="auto"/>
                <w:sz w:val="24"/>
                <w:szCs w:val="24"/>
                <w:highlight w:val="none"/>
                <w:u w:val="none" w:color="auto"/>
                <w:vertAlign w:val="baseline"/>
                <w:lang w:val="en-US" w:eastAsia="zh-CN"/>
              </w:rPr>
              <w:t>源强计算公式</w:t>
            </w:r>
            <w:r>
              <w:rPr>
                <w:rFonts w:hint="default" w:ascii="Times New Roman" w:hAnsi="Times New Roman" w:cs="Times New Roman"/>
                <w:bCs/>
                <w:color w:val="auto"/>
                <w:sz w:val="24"/>
                <w:szCs w:val="24"/>
                <w:highlight w:val="none"/>
                <w:u w:val="none" w:color="auto"/>
                <w:vertAlign w:val="baseline"/>
                <w:lang w:val="en-US" w:eastAsia="zh-CN"/>
              </w:rPr>
              <w:t>：</w:t>
            </w:r>
            <m:oMath>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E</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r>
                <m:rPr>
                  <m:nor/>
                  <m:sty m:val="p"/>
                </m:rPr>
                <w:rPr>
                  <w:rFonts w:hint="default" w:ascii="Times New Roman" w:hAnsi="Times New Roman" w:cs="Times New Roman"/>
                  <w:b w:val="0"/>
                  <w:bCs/>
                  <w:i w:val="0"/>
                  <w:color w:val="auto"/>
                  <w:kern w:val="2"/>
                  <w:sz w:val="24"/>
                  <w:szCs w:val="24"/>
                  <w:highlight w:val="none"/>
                  <w:u w:val="none" w:color="auto"/>
                  <w:vertAlign w:val="baseline"/>
                  <w:lang w:val="en-US" w:eastAsia="zh-CN" w:bidi="ar-SA"/>
                </w:rPr>
                <m:t>=</m:t>
              </m:r>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R</m:t>
              </m:r>
              <m:r>
                <m:rPr>
                  <m:nor/>
                  <m:sty m:val="p"/>
                </m:rPr>
                <w:rPr>
                  <w:rFonts w:hint="default" w:ascii="Times New Roman" w:hAnsi="Times New Roman" w:cs="Times New Roman"/>
                  <w:b w:val="0"/>
                  <w:bCs/>
                  <w:i w:val="0"/>
                  <w:color w:val="auto"/>
                  <w:kern w:val="2"/>
                  <w:sz w:val="24"/>
                  <w:szCs w:val="24"/>
                  <w:highlight w:val="none"/>
                  <w:u w:val="none" w:color="auto"/>
                  <w:vertAlign w:val="baseline"/>
                  <w:lang w:val="en-US" w:eastAsia="zh-CN" w:bidi="ar-SA"/>
                </w:rPr>
                <m:t>×</m:t>
              </m:r>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i/>
                      <w:color w:val="auto"/>
                      <w:kern w:val="2"/>
                      <w:sz w:val="24"/>
                      <w:szCs w:val="24"/>
                      <w:highlight w:val="none"/>
                      <w:u w:val="none" w:color="auto"/>
                      <w:vertAlign w:val="baseline"/>
                      <w:lang w:val="en-US" w:eastAsia="zh-CN" w:bidi="ar-SA"/>
                    </w:rPr>
                    <m:t>B</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×（1−</m:t>
              </m:r>
              <m:f>
                <m:fPr>
                  <m:ctrlPr>
                    <w:rPr>
                      <w:rFonts w:hint="default" w:ascii="Cambria Math" w:hAnsi="Cambria Math" w:cs="Times New Roman"/>
                      <w:i/>
                      <w:color w:val="auto"/>
                      <w:kern w:val="2"/>
                      <w:sz w:val="24"/>
                      <w:szCs w:val="24"/>
                      <w:highlight w:val="none"/>
                      <w:u w:val="none" w:color="auto"/>
                      <w:vertAlign w:val="baseline"/>
                      <w:lang w:val="en-US" w:eastAsia="zh-CN" w:bidi="ar-SA"/>
                    </w:rPr>
                  </m:ctrlPr>
                </m:fPr>
                <m:num>
                  <m:r>
                    <m:rPr>
                      <m:nor/>
                    </m:rPr>
                    <w:rPr>
                      <w:rFonts w:hint="default" w:ascii="Times New Roman" w:hAnsi="Times New Roman" w:cs="Times New Roman"/>
                      <w:i/>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num>
                <m:den>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100</m:t>
                  </m:r>
                  <m:ctrlPr>
                    <w:rPr>
                      <w:rFonts w:hint="default" w:ascii="Cambria Math" w:hAnsi="Cambria Math" w:cs="Times New Roman"/>
                      <w:i/>
                      <w:color w:val="auto"/>
                      <w:kern w:val="2"/>
                      <w:sz w:val="24"/>
                      <w:szCs w:val="24"/>
                      <w:highlight w:val="none"/>
                      <w:u w:val="none" w:color="auto"/>
                      <w:vertAlign w:val="baseline"/>
                      <w:lang w:val="en-US" w:eastAsia="zh-CN" w:bidi="ar-SA"/>
                    </w:rPr>
                  </m:ctrlPr>
                </m:den>
              </m:f>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m:t>
              </m:r>
              <m:sSup>
                <m:sSupPr>
                  <m:ctrlPr>
                    <w:rPr>
                      <w:rFonts w:hint="default" w:ascii="Cambria Math" w:hAnsi="Cambria Math" w:cs="Times New Roman"/>
                      <w:i/>
                      <w:color w:val="auto"/>
                      <w:kern w:val="2"/>
                      <w:sz w:val="24"/>
                      <w:szCs w:val="24"/>
                      <w:highlight w:val="none"/>
                      <w:u w:val="none" w:color="auto"/>
                      <w:vertAlign w:val="baseline"/>
                      <w:lang w:val="en-US" w:eastAsia="zh-CN" w:bidi="ar-SA"/>
                    </w:rPr>
                  </m:ctrlPr>
                </m:sSupPr>
                <m:e>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10</m:t>
                  </m:r>
                  <m:ctrlPr>
                    <w:rPr>
                      <w:rFonts w:hint="default" w:ascii="Cambria Math" w:hAnsi="Cambria Math" w:cs="Times New Roman"/>
                      <w:i/>
                      <w:color w:val="auto"/>
                      <w:kern w:val="2"/>
                      <w:sz w:val="24"/>
                      <w:szCs w:val="24"/>
                      <w:highlight w:val="none"/>
                      <w:u w:val="none" w:color="auto"/>
                      <w:vertAlign w:val="baseline"/>
                      <w:lang w:val="en-US" w:eastAsia="zh-CN" w:bidi="ar-SA"/>
                    </w:rPr>
                  </m:ctrlPr>
                </m:e>
                <m:sup>
                  <m:r>
                    <m:rPr>
                      <m:nor/>
                      <m:sty m:val="p"/>
                    </m:rPr>
                    <w:rPr>
                      <w:rFonts w:hint="default" w:ascii="Times New Roman" w:hAnsi="Times New Roman" w:cs="Times New Roman"/>
                      <w:b w:val="0"/>
                      <w:i w:val="0"/>
                      <w:color w:val="auto"/>
                      <w:kern w:val="2"/>
                      <w:sz w:val="24"/>
                      <w:szCs w:val="24"/>
                      <w:highlight w:val="none"/>
                      <w:u w:val="none" w:color="auto"/>
                      <w:vertAlign w:val="baseline"/>
                      <w:lang w:val="en-US" w:eastAsia="zh-CN" w:bidi="ar-SA"/>
                    </w:rPr>
                    <m:t>−3</m:t>
                  </m:r>
                  <m:ctrlPr>
                    <w:rPr>
                      <w:rFonts w:hint="default" w:ascii="Cambria Math" w:hAnsi="Cambria Math" w:cs="Times New Roman"/>
                      <w:i/>
                      <w:color w:val="auto"/>
                      <w:kern w:val="2"/>
                      <w:sz w:val="24"/>
                      <w:szCs w:val="24"/>
                      <w:highlight w:val="none"/>
                      <w:u w:val="none" w:color="auto"/>
                      <w:vertAlign w:val="baseline"/>
                      <w:lang w:val="en-US" w:eastAsia="zh-CN" w:bidi="ar-SA"/>
                    </w:rPr>
                  </m:ctrlPr>
                </m:sup>
              </m:sSup>
            </m:oMath>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i w:val="0"/>
                <w:color w:val="auto"/>
                <w:kern w:val="2"/>
                <w:sz w:val="24"/>
                <w:szCs w:val="24"/>
                <w:highlight w:val="none"/>
                <w:u w:val="none" w:color="auto"/>
                <w:vertAlign w:val="baseline"/>
                <w:lang w:val="en-US" w:eastAsia="zh-CN" w:bidi="ar-SA"/>
              </w:rPr>
              <w:t>式中：</w:t>
            </w:r>
            <m:oMath>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E</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bCs/>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——核算时段内第j种污染物排放量</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superscript"/>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R——核算时段内燃料消耗量，t或万m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，本项目取</w:t>
            </w:r>
            <w:r>
              <w:rPr>
                <w:rFonts w:hint="eastAsia" w:cs="Times New Roman"/>
                <w:color w:val="auto"/>
                <w:lang w:val="en-US" w:eastAsia="zh-CN"/>
              </w:rPr>
              <w:t>222.72</w:t>
            </w:r>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superscript"/>
                <w:lang w:val="en-US" w:eastAsia="zh-CN" w:bidi="ar-SA"/>
              </w:rPr>
              <w:t xml:space="preserve">         </w:t>
            </w:r>
            <m:oMath>
              <m:sSub>
                <m:sSubPr>
                  <m:ctrlPr>
                    <w:rPr>
                      <w:rFonts w:hint="default" w:ascii="Cambria Math" w:hAnsi="Cambria Math" w:cs="Times New Roman"/>
                      <w:bCs/>
                      <w:i/>
                      <w:color w:val="auto"/>
                      <w:kern w:val="2"/>
                      <w:sz w:val="24"/>
                      <w:szCs w:val="24"/>
                      <w:highlight w:val="none"/>
                      <w:u w:val="none" w:color="auto"/>
                      <w:vertAlign w:val="baseline"/>
                      <w:lang w:val="en-US" w:eastAsia="zh-CN" w:bidi="ar-SA"/>
                    </w:rPr>
                  </m:ctrlPr>
                </m:sSubPr>
                <m:e>
                  <m:r>
                    <m:rPr>
                      <m:nor/>
                    </m:rPr>
                    <w:rPr>
                      <w:rFonts w:hint="default" w:ascii="Times New Roman" w:hAnsi="Times New Roman" w:cs="Times New Roman"/>
                      <w:i/>
                      <w:color w:val="auto"/>
                      <w:kern w:val="2"/>
                      <w:sz w:val="24"/>
                      <w:szCs w:val="24"/>
                      <w:highlight w:val="none"/>
                      <w:u w:val="none" w:color="auto"/>
                      <w:vertAlign w:val="baseline"/>
                      <w:lang w:val="en-US" w:eastAsia="zh-CN" w:bidi="ar-SA"/>
                    </w:rPr>
                    <m:t>B</m:t>
                  </m:r>
                  <m:ctrlPr>
                    <w:rPr>
                      <w:rFonts w:hint="default" w:ascii="Cambria Math" w:hAnsi="Cambria Math" w:cs="Times New Roman"/>
                      <w:bCs/>
                      <w:i/>
                      <w:color w:val="auto"/>
                      <w:kern w:val="2"/>
                      <w:sz w:val="24"/>
                      <w:szCs w:val="24"/>
                      <w:highlight w:val="none"/>
                      <w:u w:val="none" w:color="auto"/>
                      <w:vertAlign w:val="baseline"/>
                      <w:lang w:val="en-US" w:eastAsia="zh-CN" w:bidi="ar-SA"/>
                    </w:rPr>
                  </m:ctrlPr>
                </m:e>
                <m:sub>
                  <m:r>
                    <m:rPr>
                      <m:nor/>
                    </m:rPr>
                    <w:rPr>
                      <w:rFonts w:hint="default" w:ascii="Times New Roman" w:hAnsi="Times New Roman" w:cs="Times New Roman"/>
                      <w:i/>
                      <w:color w:val="auto"/>
                      <w:kern w:val="2"/>
                      <w:sz w:val="24"/>
                      <w:szCs w:val="24"/>
                      <w:highlight w:val="none"/>
                      <w:u w:val="none" w:color="auto"/>
                      <w:vertAlign w:val="baseline"/>
                      <w:lang w:val="en-US" w:eastAsia="zh-CN" w:bidi="ar-SA"/>
                    </w:rPr>
                    <m:t>j</m:t>
                  </m:r>
                  <m:ctrlPr>
                    <w:rPr>
                      <w:rFonts w:hint="default"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——产污系数，kg/t，</w:t>
            </w:r>
            <w:r>
              <w:rPr>
                <w:rFonts w:hint="eastAsia" w:cs="Times New Roman"/>
                <w:b w:val="0"/>
                <w:bCs w:val="0"/>
                <w:color w:val="auto"/>
                <w:sz w:val="24"/>
                <w:szCs w:val="24"/>
                <w:highlight w:val="none"/>
                <w:u w:val="none" w:color="auto"/>
                <w:lang w:eastAsia="zh-CN"/>
              </w:rPr>
              <w:t>参照</w:t>
            </w:r>
            <w:r>
              <w:rPr>
                <w:rFonts w:hint="default" w:ascii="Times New Roman" w:hAnsi="Times New Roman" w:eastAsia="宋体" w:cs="Times New Roman"/>
                <w:color w:val="auto"/>
                <w:sz w:val="24"/>
                <w:szCs w:val="24"/>
                <w:highlight w:val="none"/>
                <w:u w:val="none" w:color="auto"/>
                <w:lang w:val="en-US" w:eastAsia="zh-CN"/>
              </w:rPr>
              <w:t>《排污许可证申请与核发技术规范—锅炉》（HJ953-2018）</w:t>
            </w:r>
            <w:r>
              <w:rPr>
                <w:rFonts w:hint="eastAsia" w:cs="Times New Roman"/>
                <w:color w:val="auto"/>
                <w:sz w:val="24"/>
                <w:szCs w:val="24"/>
                <w:highlight w:val="none"/>
                <w:u w:val="none" w:color="auto"/>
                <w:lang w:val="en-US" w:eastAsia="zh-CN"/>
              </w:rPr>
              <w:t>表F.2中燃普通柴油（轻油）工业锅炉的废气产污系数，产污系数取0.26千克/吨燃料。</w:t>
            </w:r>
          </w:p>
          <w:p>
            <w:pPr>
              <w:adjustRightInd w:val="0"/>
              <w:snapToGrid w:val="0"/>
              <w:spacing w:line="360" w:lineRule="auto"/>
              <w:ind w:firstLine="480" w:firstLineChars="200"/>
              <w:rPr>
                <w:color w:val="auto"/>
              </w:rPr>
            </w:pPr>
            <w:r>
              <w:rPr>
                <w:rFonts w:hint="eastAsia" w:hAnsi="Cambria Math" w:cs="Times New Roman"/>
                <w:bCs/>
                <w:i w:val="0"/>
                <w:color w:val="auto"/>
                <w:kern w:val="2"/>
                <w:sz w:val="24"/>
                <w:szCs w:val="24"/>
                <w:highlight w:val="none"/>
                <w:u w:val="none" w:color="auto"/>
                <w:vertAlign w:val="baseline"/>
                <w:lang w:val="en-US" w:eastAsia="zh-CN" w:bidi="ar-SA"/>
              </w:rPr>
              <w:t>根据计算颗粒物排放量=</w:t>
            </w:r>
            <w:r>
              <w:rPr>
                <w:rFonts w:hint="eastAsia" w:cs="Times New Roman"/>
                <w:color w:val="auto"/>
                <w:lang w:val="en-US" w:eastAsia="zh-CN"/>
              </w:rPr>
              <w:t>222.72</w:t>
            </w:r>
            <w:r>
              <w:rPr>
                <w:rFonts w:hint="eastAsia" w:hAnsi="Cambria Math" w:cs="Times New Roman"/>
                <w:bCs/>
                <w:i w:val="0"/>
                <w:color w:val="auto"/>
                <w:kern w:val="2"/>
                <w:sz w:val="24"/>
                <w:szCs w:val="24"/>
                <w:highlight w:val="none"/>
                <w:u w:val="none" w:color="auto"/>
                <w:vertAlign w:val="baseline"/>
                <w:lang w:val="en-US" w:eastAsia="zh-CN" w:bidi="ar-SA"/>
              </w:rPr>
              <w:t>t×0.26kg/t×（1-0）×10</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=0.058t/a，排放速率为0.027kg/h，排放浓度为14.60mg/m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w:t>
            </w:r>
          </w:p>
          <w:p>
            <w:pPr>
              <w:adjustRightInd w:val="0"/>
              <w:snapToGrid w:val="0"/>
              <w:spacing w:line="360" w:lineRule="auto"/>
              <w:ind w:firstLine="480" w:firstLineChars="200"/>
              <w:rPr>
                <w:color w:val="auto"/>
              </w:rPr>
            </w:pPr>
            <w:r>
              <w:rPr>
                <w:rFonts w:hint="eastAsia"/>
                <w:color w:val="auto"/>
              </w:rPr>
              <w:t>c二氧化硫</w:t>
            </w:r>
          </w:p>
          <w:p>
            <w:pPr>
              <w:pStyle w:val="60"/>
              <w:keepNext w:val="0"/>
              <w:keepLines w:val="0"/>
              <w:pageBreakBefore w:val="0"/>
              <w:widowControl w:val="0"/>
              <w:kinsoku/>
              <w:wordWrap/>
              <w:overflowPunct/>
              <w:topLinePunct w:val="0"/>
              <w:autoSpaceDE/>
              <w:autoSpaceDN/>
              <w:bidi w:val="0"/>
              <w:spacing w:before="0" w:beforeLines="0" w:after="0" w:line="360" w:lineRule="auto"/>
              <w:ind w:firstLine="48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根据《污染源源强核算技术指南 锅炉》（HJ991-2018）</w:t>
            </w:r>
            <w:r>
              <w:rPr>
                <w:rFonts w:hint="default" w:ascii="Times New Roman" w:hAnsi="Times New Roman" w:eastAsia="宋体" w:cs="Times New Roman"/>
                <w:b w:val="0"/>
                <w:bCs w:val="0"/>
                <w:color w:val="auto"/>
                <w:sz w:val="24"/>
                <w:szCs w:val="24"/>
                <w:highlight w:val="none"/>
                <w:lang w:val="en-US" w:eastAsia="zh-CN"/>
              </w:rPr>
              <w:t>二氧化硫排放量按照下式计算</w:t>
            </w:r>
          </w:p>
          <w:p>
            <w:pPr>
              <w:autoSpaceDE w:val="0"/>
              <w:autoSpaceDN w:val="0"/>
              <w:adjustRightInd w:val="0"/>
              <w:spacing w:line="360" w:lineRule="auto"/>
              <w:ind w:firstLine="480" w:firstLineChars="200"/>
              <w:jc w:val="both"/>
              <w:rPr>
                <w:rFonts w:hint="default" w:hAnsi="Cambria Math" w:cs="Times New Roman"/>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二氧化硫源强计算公式：</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E</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SO</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2</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r>
                <w:rPr>
                  <w:rFonts w:hint="default" w:ascii="Cambria Math" w:hAnsi="Cambria Math" w:cs="Times New Roman"/>
                  <w:color w:val="auto"/>
                  <w:kern w:val="2"/>
                  <w:sz w:val="24"/>
                  <w:szCs w:val="24"/>
                  <w:highlight w:val="none"/>
                  <w:u w:val="none" w:color="auto"/>
                  <w:vertAlign w:val="baseline"/>
                  <w:lang w:val="en-US" w:eastAsia="zh-CN" w:bidi="ar-SA"/>
                </w:rPr>
                <m:t>=2R</m:t>
              </m:r>
              <m:r>
                <w:rPr>
                  <w:rFonts w:hint="eastAsia" w:ascii="Cambria Math" w:hAnsi="Cambria Math" w:cs="Times New Roman"/>
                  <w:color w:val="auto"/>
                  <w:kern w:val="2"/>
                  <w:sz w:val="24"/>
                  <w:szCs w:val="24"/>
                  <w:highlight w:val="none"/>
                  <w:u w:val="none" w:color="auto"/>
                  <w:vertAlign w:val="baseline"/>
                  <w:lang w:val="en-US" w:eastAsia="zh-CN" w:bidi="ar-SA"/>
                </w:rPr>
                <m:t>×</m:t>
              </m:r>
              <m:f>
                <m:fPr>
                  <m:ctrlPr>
                    <w:rPr>
                      <w:rFonts w:hint="eastAsia" w:ascii="Cambria Math" w:hAnsi="Cambria Math" w:cs="Times New Roman"/>
                      <w:bCs/>
                      <w:i/>
                      <w:color w:val="auto"/>
                      <w:kern w:val="2"/>
                      <w:sz w:val="24"/>
                      <w:szCs w:val="24"/>
                      <w:highlight w:val="none"/>
                      <w:u w:val="none" w:color="auto"/>
                      <w:vertAlign w:val="baseline"/>
                      <w:lang w:val="en-US" w:eastAsia="zh-CN" w:bidi="ar-SA"/>
                    </w:rPr>
                  </m:ctrlPr>
                </m:fPr>
                <m:num>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ar</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num>
                <m:den>
                  <m:r>
                    <w:rPr>
                      <w:rFonts w:hint="default" w:ascii="Cambria Math" w:hAnsi="Cambria Math" w:cs="Times New Roman"/>
                      <w:color w:val="auto"/>
                      <w:kern w:val="2"/>
                      <w:sz w:val="24"/>
                      <w:szCs w:val="24"/>
                      <w:highlight w:val="none"/>
                      <w:u w:val="none" w:color="auto"/>
                      <w:vertAlign w:val="baseline"/>
                      <w:lang w:val="en-US" w:eastAsia="zh-CN" w:bidi="ar-SA"/>
                    </w:rPr>
                    <m:t>100</m:t>
                  </m:r>
                  <m:ctrlPr>
                    <w:rPr>
                      <w:rFonts w:hint="eastAsia" w:ascii="Cambria Math" w:hAnsi="Cambria Math" w:cs="Times New Roman"/>
                      <w:bCs/>
                      <w:i/>
                      <w:color w:val="auto"/>
                      <w:kern w:val="2"/>
                      <w:sz w:val="24"/>
                      <w:szCs w:val="24"/>
                      <w:highlight w:val="none"/>
                      <w:u w:val="none" w:color="auto"/>
                      <w:vertAlign w:val="baseline"/>
                      <w:lang w:val="en-US" w:eastAsia="zh-CN" w:bidi="ar-SA"/>
                    </w:rPr>
                  </m:ctrlPr>
                </m:den>
              </m:f>
              <m:r>
                <w:rPr>
                  <w:rFonts w:hint="eastAsia" w:ascii="Cambria Math" w:hAnsi="Cambria Math" w:cs="Times New Roman"/>
                  <w:color w:val="auto"/>
                  <w:kern w:val="2"/>
                  <w:sz w:val="24"/>
                  <w:szCs w:val="24"/>
                  <w:highlight w:val="none"/>
                  <w:u w:val="none" w:color="auto"/>
                  <w:vertAlign w:val="baseline"/>
                  <w:lang w:val="en-US" w:eastAsia="zh-CN" w:bidi="ar-SA"/>
                </w:rPr>
                <m:t>×</m:t>
              </m:r>
              <m:d>
                <m:dPr>
                  <m:ctrlPr>
                    <w:rPr>
                      <w:rFonts w:hint="eastAsia" w:ascii="Cambria Math" w:hAnsi="Cambria Math" w:cs="Times New Roman"/>
                      <w:i/>
                      <w:color w:val="auto"/>
                      <w:kern w:val="2"/>
                      <w:sz w:val="24"/>
                      <w:szCs w:val="24"/>
                      <w:highlight w:val="none"/>
                      <w:u w:val="none" w:color="auto"/>
                      <w:vertAlign w:val="baseline"/>
                      <w:lang w:val="en-US" w:eastAsia="zh-CN" w:bidi="ar-SA"/>
                    </w:rPr>
                  </m:ctrlPr>
                </m:dPr>
                <m:e>
                  <m:r>
                    <w:rPr>
                      <w:rFonts w:hint="default" w:ascii="Cambria Math" w:hAnsi="Cambria Math" w:cs="Times New Roman"/>
                      <w:color w:val="auto"/>
                      <w:kern w:val="2"/>
                      <w:sz w:val="24"/>
                      <w:szCs w:val="24"/>
                      <w:highlight w:val="none"/>
                      <w:u w:val="none" w:color="auto"/>
                      <w:vertAlign w:val="baseline"/>
                      <w:lang w:val="en-US" w:eastAsia="zh-CN" w:bidi="ar-SA"/>
                    </w:rPr>
                    <m:t>1−</m:t>
                  </m:r>
                  <m:f>
                    <m:fPr>
                      <m:ctrlPr>
                        <w:rPr>
                          <w:rFonts w:hint="default" w:ascii="Cambria Math" w:hAnsi="Cambria Math" w:cs="Times New Roman"/>
                          <w:i/>
                          <w:color w:val="auto"/>
                          <w:kern w:val="2"/>
                          <w:sz w:val="24"/>
                          <w:szCs w:val="24"/>
                          <w:highlight w:val="none"/>
                          <w:u w:val="none" w:color="auto"/>
                          <w:vertAlign w:val="baseline"/>
                          <w:lang w:val="en-US" w:eastAsia="zh-CN" w:bidi="ar-SA"/>
                        </w:rPr>
                      </m:ctrlPr>
                    </m:fPr>
                    <m:num>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q</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4</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ctrlPr>
                        <w:rPr>
                          <w:rFonts w:hint="default" w:ascii="Cambria Math" w:hAnsi="Cambria Math" w:cs="Times New Roman"/>
                          <w:i/>
                          <w:color w:val="auto"/>
                          <w:kern w:val="2"/>
                          <w:sz w:val="24"/>
                          <w:szCs w:val="24"/>
                          <w:highlight w:val="none"/>
                          <w:u w:val="none" w:color="auto"/>
                          <w:vertAlign w:val="baseline"/>
                          <w:lang w:val="en-US" w:eastAsia="zh-CN" w:bidi="ar-SA"/>
                        </w:rPr>
                      </m:ctrlPr>
                    </m:num>
                    <m:den>
                      <m:r>
                        <w:rPr>
                          <w:rFonts w:hint="default" w:ascii="Cambria Math" w:hAnsi="Cambria Math" w:cs="Times New Roman"/>
                          <w:color w:val="auto"/>
                          <w:kern w:val="2"/>
                          <w:sz w:val="24"/>
                          <w:szCs w:val="24"/>
                          <w:highlight w:val="none"/>
                          <w:u w:val="none" w:color="auto"/>
                          <w:vertAlign w:val="baseline"/>
                          <w:lang w:val="en-US" w:eastAsia="zh-CN" w:bidi="ar-SA"/>
                        </w:rPr>
                        <m:t>100</m:t>
                      </m:r>
                      <m:ctrlPr>
                        <w:rPr>
                          <w:rFonts w:hint="default" w:ascii="Cambria Math" w:hAnsi="Cambria Math" w:cs="Times New Roman"/>
                          <w:i/>
                          <w:color w:val="auto"/>
                          <w:kern w:val="2"/>
                          <w:sz w:val="24"/>
                          <w:szCs w:val="24"/>
                          <w:highlight w:val="none"/>
                          <w:u w:val="none" w:color="auto"/>
                          <w:vertAlign w:val="baseline"/>
                          <w:lang w:val="en-US" w:eastAsia="zh-CN" w:bidi="ar-SA"/>
                        </w:rPr>
                      </m:ctrlPr>
                    </m:den>
                  </m:f>
                  <m:ctrlPr>
                    <w:rPr>
                      <w:rFonts w:hint="eastAsia" w:ascii="Cambria Math" w:hAnsi="Cambria Math" w:cs="Times New Roman"/>
                      <w:i/>
                      <w:color w:val="auto"/>
                      <w:kern w:val="2"/>
                      <w:sz w:val="24"/>
                      <w:szCs w:val="24"/>
                      <w:highlight w:val="none"/>
                      <w:u w:val="none" w:color="auto"/>
                      <w:vertAlign w:val="baseline"/>
                      <w:lang w:val="en-US" w:eastAsia="zh-CN" w:bidi="ar-SA"/>
                    </w:rPr>
                  </m:ctrlPr>
                </m:e>
              </m:d>
              <m:r>
                <w:rPr>
                  <w:rFonts w:hint="eastAsia" w:ascii="Cambria Math" w:hAnsi="Cambria Math" w:cs="Times New Roman"/>
                  <w:color w:val="auto"/>
                  <w:kern w:val="2"/>
                  <w:sz w:val="24"/>
                  <w:szCs w:val="24"/>
                  <w:highlight w:val="none"/>
                  <w:u w:val="none" w:color="auto"/>
                  <w:vertAlign w:val="baseline"/>
                  <w:lang w:val="en-US" w:eastAsia="zh-CN" w:bidi="ar-SA"/>
                </w:rPr>
                <m:t>×</m:t>
              </m:r>
              <m:d>
                <m:dPr>
                  <m:ctrlPr>
                    <w:rPr>
                      <w:rFonts w:hint="eastAsia" w:ascii="Cambria Math" w:hAnsi="Cambria Math" w:cs="Times New Roman"/>
                      <w:i/>
                      <w:color w:val="auto"/>
                      <w:kern w:val="2"/>
                      <w:sz w:val="24"/>
                      <w:szCs w:val="24"/>
                      <w:highlight w:val="none"/>
                      <w:u w:val="none" w:color="auto"/>
                      <w:vertAlign w:val="baseline"/>
                      <w:lang w:val="en-US" w:eastAsia="zh-CN" w:bidi="ar-SA"/>
                    </w:rPr>
                  </m:ctrlPr>
                </m:dPr>
                <m:e>
                  <m:r>
                    <w:rPr>
                      <w:rFonts w:hint="default" w:ascii="Cambria Math" w:hAnsi="Cambria Math" w:cs="Times New Roman"/>
                      <w:color w:val="auto"/>
                      <w:kern w:val="2"/>
                      <w:sz w:val="24"/>
                      <w:szCs w:val="24"/>
                      <w:highlight w:val="none"/>
                      <w:u w:val="none" w:color="auto"/>
                      <w:vertAlign w:val="baseline"/>
                      <w:lang w:val="en-US" w:eastAsia="zh-CN" w:bidi="ar-SA"/>
                    </w:rPr>
                    <m:t>1−</m:t>
                  </m:r>
                  <m:f>
                    <m:fPr>
                      <m:ctrlPr>
                        <w:rPr>
                          <w:rFonts w:hint="default" w:ascii="Cambria Math" w:hAnsi="Cambria Math" w:cs="Times New Roman"/>
                          <w:i/>
                          <w:color w:val="auto"/>
                          <w:kern w:val="2"/>
                          <w:sz w:val="24"/>
                          <w:szCs w:val="24"/>
                          <w:highlight w:val="none"/>
                          <w:u w:val="none" w:color="auto"/>
                          <w:vertAlign w:val="baseline"/>
                          <w:lang w:val="en-US" w:eastAsia="zh-CN" w:bidi="ar-SA"/>
                        </w:rPr>
                      </m:ctrlPr>
                    </m:fPr>
                    <m:num>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ctrlPr>
                        <w:rPr>
                          <w:rFonts w:hint="default" w:ascii="Cambria Math" w:hAnsi="Cambria Math" w:cs="Times New Roman"/>
                          <w:i/>
                          <w:color w:val="auto"/>
                          <w:kern w:val="2"/>
                          <w:sz w:val="24"/>
                          <w:szCs w:val="24"/>
                          <w:highlight w:val="none"/>
                          <w:u w:val="none" w:color="auto"/>
                          <w:vertAlign w:val="baseline"/>
                          <w:lang w:val="en-US" w:eastAsia="zh-CN" w:bidi="ar-SA"/>
                        </w:rPr>
                      </m:ctrlPr>
                    </m:num>
                    <m:den>
                      <m:r>
                        <w:rPr>
                          <w:rFonts w:hint="default" w:ascii="Cambria Math" w:hAnsi="Cambria Math" w:cs="Times New Roman"/>
                          <w:color w:val="auto"/>
                          <w:kern w:val="2"/>
                          <w:sz w:val="24"/>
                          <w:szCs w:val="24"/>
                          <w:highlight w:val="none"/>
                          <w:u w:val="none" w:color="auto"/>
                          <w:vertAlign w:val="baseline"/>
                          <w:lang w:val="en-US" w:eastAsia="zh-CN" w:bidi="ar-SA"/>
                        </w:rPr>
                        <m:t>100</m:t>
                      </m:r>
                      <m:ctrlPr>
                        <w:rPr>
                          <w:rFonts w:hint="default" w:ascii="Cambria Math" w:hAnsi="Cambria Math" w:cs="Times New Roman"/>
                          <w:i/>
                          <w:color w:val="auto"/>
                          <w:kern w:val="2"/>
                          <w:sz w:val="24"/>
                          <w:szCs w:val="24"/>
                          <w:highlight w:val="none"/>
                          <w:u w:val="none" w:color="auto"/>
                          <w:vertAlign w:val="baseline"/>
                          <w:lang w:val="en-US" w:eastAsia="zh-CN" w:bidi="ar-SA"/>
                        </w:rPr>
                      </m:ctrlPr>
                    </m:den>
                  </m:f>
                  <m:ctrlPr>
                    <w:rPr>
                      <w:rFonts w:hint="eastAsia" w:ascii="Cambria Math" w:hAnsi="Cambria Math" w:cs="Times New Roman"/>
                      <w:i/>
                      <w:color w:val="auto"/>
                      <w:kern w:val="2"/>
                      <w:sz w:val="24"/>
                      <w:szCs w:val="24"/>
                      <w:highlight w:val="none"/>
                      <w:u w:val="none" w:color="auto"/>
                      <w:vertAlign w:val="baseline"/>
                      <w:lang w:val="en-US" w:eastAsia="zh-CN" w:bidi="ar-SA"/>
                    </w:rPr>
                  </m:ctrlPr>
                </m:e>
              </m:d>
              <m:r>
                <w:rPr>
                  <w:rFonts w:hint="eastAsia" w:ascii="Cambria Math" w:hAnsi="Cambria Math" w:cs="Times New Roman"/>
                  <w:color w:val="auto"/>
                  <w:kern w:val="2"/>
                  <w:sz w:val="24"/>
                  <w:szCs w:val="24"/>
                  <w:highlight w:val="none"/>
                  <w:u w:val="none" w:color="auto"/>
                  <w:vertAlign w:val="baseline"/>
                  <w:lang w:val="en-US" w:eastAsia="zh-CN" w:bidi="ar-SA"/>
                </w:rPr>
                <m:t>×</m:t>
              </m:r>
              <m:r>
                <w:rPr>
                  <w:rFonts w:hint="default" w:ascii="Cambria Math" w:hAnsi="Cambria Math" w:cs="Times New Roman"/>
                  <w:color w:val="auto"/>
                  <w:kern w:val="2"/>
                  <w:sz w:val="24"/>
                  <w:szCs w:val="24"/>
                  <w:highlight w:val="none"/>
                  <w:u w:val="none" w:color="auto"/>
                  <w:vertAlign w:val="baseline"/>
                  <w:lang w:val="en-US" w:eastAsia="zh-CN" w:bidi="ar-SA"/>
                </w:rPr>
                <m:t>K</m:t>
              </m:r>
            </m:oMath>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i w:val="0"/>
                <w:color w:val="auto"/>
                <w:kern w:val="2"/>
                <w:sz w:val="24"/>
                <w:szCs w:val="24"/>
                <w:highlight w:val="none"/>
                <w:u w:val="none" w:color="auto"/>
                <w:vertAlign w:val="baseline"/>
                <w:lang w:val="en-US" w:eastAsia="zh-CN" w:bidi="ar-SA"/>
              </w:rPr>
              <w:t>式中：</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E</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SO</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2</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——核算时段内二氧化硫排放量，t</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superscript"/>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R——核算时段内燃料消耗量，t，本项目取222.72</w:t>
            </w:r>
          </w:p>
          <w:p>
            <w:pPr>
              <w:autoSpaceDE w:val="0"/>
              <w:autoSpaceDN w:val="0"/>
              <w:adjustRightInd w:val="0"/>
              <w:spacing w:line="360" w:lineRule="auto"/>
              <w:ind w:firstLine="480" w:firstLineChars="200"/>
              <w:jc w:val="both"/>
              <w:rPr>
                <w:rFonts w:hint="eastAsia"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superscript"/>
                <w:lang w:val="en-US" w:eastAsia="zh-CN" w:bidi="ar-SA"/>
              </w:rPr>
              <w:t xml:space="preserve">         </w:t>
            </w:r>
            <m:oMath>
              <m:sSub>
                <m:sSubPr>
                  <m:ctrlPr>
                    <w:rPr>
                      <w:rFonts w:hint="eastAsia" w:ascii="Cambria Math" w:hAnsi="Cambria Math" w:cs="Times New Roman"/>
                      <w:bCs/>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eastAsia" w:ascii="Cambria Math" w:hAnsi="Cambria Math" w:cs="Times New Roman"/>
                      <w:bCs/>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ar</m:t>
                  </m:r>
                  <m:ctrlPr>
                    <w:rPr>
                      <w:rFonts w:hint="eastAsia" w:ascii="Cambria Math" w:hAnsi="Cambria Math" w:cs="Times New Roman"/>
                      <w:bCs/>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——收到基硫的质量分数，%，</w:t>
            </w:r>
            <w:r>
              <w:rPr>
                <w:rFonts w:hint="eastAsia" w:cs="Times New Roman"/>
                <w:color w:val="auto"/>
                <w:sz w:val="24"/>
                <w:szCs w:val="24"/>
                <w:highlight w:val="none"/>
                <w:u w:val="none" w:color="auto"/>
                <w:lang w:val="en-US" w:eastAsia="zh-CN"/>
              </w:rPr>
              <w:t>根据《关于做好全国全面供</w:t>
            </w:r>
            <w:r>
              <w:rPr>
                <w:rFonts w:hint="eastAsia" w:ascii="Times New Roman" w:hAnsi="Times New Roman" w:eastAsia="宋体" w:cs="Times New Roman"/>
                <w:color w:val="auto"/>
                <w:sz w:val="24"/>
                <w:szCs w:val="24"/>
                <w:highlight w:val="none"/>
                <w:u w:val="none" w:color="auto"/>
                <w:lang w:val="en-US" w:eastAsia="zh-CN"/>
              </w:rPr>
              <w:t>应硫含量不大于10PPM普通柴油有关工作的通知》（发改办能源〔2017〕965号），</w:t>
            </w:r>
            <w:r>
              <w:rPr>
                <w:rFonts w:hint="default" w:ascii="Times New Roman" w:hAnsi="Times New Roman" w:eastAsia="宋体" w:cs="Times New Roman"/>
                <w:color w:val="auto"/>
                <w:sz w:val="24"/>
                <w:szCs w:val="24"/>
                <w:highlight w:val="none"/>
                <w:u w:val="none" w:color="auto"/>
                <w:lang w:val="en-US" w:eastAsia="zh-CN"/>
              </w:rPr>
              <w:t>本项目</w:t>
            </w:r>
            <w:r>
              <w:rPr>
                <w:rFonts w:hint="eastAsia" w:cs="Times New Roman"/>
                <w:b w:val="0"/>
                <w:bCs w:val="0"/>
                <w:color w:val="auto"/>
                <w:sz w:val="24"/>
                <w:szCs w:val="24"/>
                <w:highlight w:val="none"/>
                <w:u w:val="none" w:color="auto"/>
                <w:lang w:eastAsia="zh-CN"/>
              </w:rPr>
              <w:t>导热油炉所采用</w:t>
            </w:r>
            <w:r>
              <w:rPr>
                <w:rFonts w:hint="eastAsia" w:cs="Times New Roman"/>
                <w:b w:val="0"/>
                <w:bCs w:val="0"/>
                <w:color w:val="auto"/>
                <w:sz w:val="24"/>
                <w:szCs w:val="24"/>
                <w:highlight w:val="none"/>
                <w:u w:val="none" w:color="auto"/>
                <w:lang w:val="en-US" w:eastAsia="zh-CN"/>
              </w:rPr>
              <w:t>轻质柴油</w:t>
            </w:r>
            <w:r>
              <w:rPr>
                <w:rFonts w:hint="eastAsia" w:cs="Times New Roman"/>
                <w:b w:val="0"/>
                <w:bCs w:val="0"/>
                <w:color w:val="auto"/>
                <w:sz w:val="24"/>
                <w:szCs w:val="24"/>
                <w:highlight w:val="none"/>
                <w:u w:val="none" w:color="auto"/>
                <w:lang w:eastAsia="zh-CN"/>
              </w:rPr>
              <w:t>燃料的</w:t>
            </w:r>
            <w:r>
              <w:rPr>
                <w:rFonts w:hint="default" w:ascii="Times New Roman" w:hAnsi="Times New Roman" w:eastAsia="宋体" w:cs="Times New Roman"/>
                <w:color w:val="auto"/>
                <w:sz w:val="24"/>
                <w:highlight w:val="none"/>
                <w:u w:val="none" w:color="auto"/>
                <w:lang w:val="en-US" w:eastAsia="zh-CN"/>
              </w:rPr>
              <w:t>含硫量取</w:t>
            </w:r>
            <w:r>
              <w:rPr>
                <w:rFonts w:hint="eastAsia" w:cs="Times New Roman"/>
                <w:color w:val="auto"/>
                <w:sz w:val="24"/>
                <w:highlight w:val="none"/>
                <w:u w:val="none" w:color="auto"/>
                <w:lang w:val="en-US" w:eastAsia="zh-CN"/>
              </w:rPr>
              <w:t>为</w:t>
            </w:r>
            <w:r>
              <w:rPr>
                <w:rFonts w:hint="default" w:ascii="Times New Roman" w:hAnsi="Times New Roman" w:eastAsia="宋体" w:cs="Times New Roman"/>
                <w:color w:val="auto"/>
                <w:sz w:val="24"/>
                <w:highlight w:val="none"/>
                <w:u w:val="none" w:color="auto"/>
                <w:lang w:val="en-US" w:eastAsia="zh-CN"/>
              </w:rPr>
              <w:t>0.</w:t>
            </w:r>
            <w:r>
              <w:rPr>
                <w:rFonts w:hint="eastAsia" w:cs="Times New Roman"/>
                <w:color w:val="auto"/>
                <w:sz w:val="24"/>
                <w:highlight w:val="none"/>
                <w:u w:val="none" w:color="auto"/>
                <w:lang w:val="en-US" w:eastAsia="zh-CN"/>
              </w:rPr>
              <w:t>001</w:t>
            </w:r>
            <w:r>
              <w:rPr>
                <w:rFonts w:hint="default" w:ascii="Times New Roman" w:hAnsi="Times New Roman" w:eastAsia="宋体" w:cs="Times New Roman"/>
                <w:color w:val="auto"/>
                <w:sz w:val="24"/>
                <w:highlight w:val="none"/>
                <w:u w:val="none" w:color="auto"/>
                <w:lang w:val="en-US" w:eastAsia="zh-CN"/>
              </w:rPr>
              <w:t>%</w:t>
            </w:r>
            <w:r>
              <w:rPr>
                <w:rFonts w:hint="eastAsia" w:cs="Times New Roman"/>
                <w:color w:val="auto"/>
                <w:sz w:val="24"/>
                <w:highlight w:val="none"/>
                <w:u w:val="none" w:color="auto"/>
                <w:lang w:val="en-US" w:eastAsia="zh-CN"/>
              </w:rPr>
              <w:t>，</w:t>
            </w:r>
          </w:p>
          <w:p>
            <w:pPr>
              <w:autoSpaceDE w:val="0"/>
              <w:autoSpaceDN w:val="0"/>
              <w:adjustRightInd w:val="0"/>
              <w:spacing w:line="360" w:lineRule="auto"/>
              <w:ind w:firstLine="1200" w:firstLineChars="500"/>
              <w:jc w:val="both"/>
              <w:rPr>
                <w:rFonts w:hint="default" w:hAnsi="Cambria Math" w:cs="Times New Roman"/>
                <w:bCs/>
                <w:i w:val="0"/>
                <w:color w:val="auto"/>
                <w:kern w:val="2"/>
                <w:sz w:val="24"/>
                <w:szCs w:val="24"/>
                <w:highlight w:val="none"/>
                <w:u w:val="none" w:color="auto"/>
                <w:vertAlign w:val="superscript"/>
                <w:lang w:val="en-US" w:eastAsia="zh-CN" w:bidi="ar-SA"/>
              </w:rPr>
            </w:pPr>
            <m:oMath>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hint="default" w:ascii="Cambria Math" w:hAnsi="Cambria Math" w:cs="Times New Roman"/>
                      <w:color w:val="auto"/>
                      <w:kern w:val="2"/>
                      <w:sz w:val="24"/>
                      <w:szCs w:val="24"/>
                      <w:highlight w:val="none"/>
                      <w:u w:val="none" w:color="auto"/>
                      <w:vertAlign w:val="baseline"/>
                      <w:lang w:val="en-US" w:eastAsia="zh-CN" w:bidi="ar-SA"/>
                    </w:rPr>
                    <m:t>q</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4</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——锅炉机械不完全燃烧热损失，%，取10%</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superscript"/>
                <w:lang w:val="en-US" w:eastAsia="zh-CN" w:bidi="ar-SA"/>
              </w:rPr>
              <w:t xml:space="preserve">         </w:t>
            </w:r>
            <m:oMath>
              <m:sSub>
                <m:sSubPr>
                  <m:ctrlPr>
                    <w:rPr>
                      <w:rFonts w:hint="default" w:ascii="Cambria Math" w:hAnsi="Cambria Math" w:cs="Times New Roman"/>
                      <w:i/>
                      <w:color w:val="auto"/>
                      <w:kern w:val="2"/>
                      <w:sz w:val="24"/>
                      <w:szCs w:val="24"/>
                      <w:highlight w:val="none"/>
                      <w:u w:val="none" w:color="auto"/>
                      <w:vertAlign w:val="baseline"/>
                      <w:lang w:val="en-US" w:eastAsia="zh-CN" w:bidi="ar-SA"/>
                    </w:rPr>
                  </m:ctrlPr>
                </m:sSubPr>
                <m:e>
                  <m:r>
                    <w:rPr>
                      <w:rFonts w:ascii="Cambria Math" w:hAnsi="Cambria Math" w:cs="Times New Roman"/>
                      <w:color w:val="auto"/>
                      <w:kern w:val="2"/>
                      <w:sz w:val="24"/>
                      <w:szCs w:val="24"/>
                      <w:highlight w:val="none"/>
                      <w:u w:val="none" w:color="auto"/>
                      <w:vertAlign w:val="baseline"/>
                      <w:lang w:val="en-US" w:bidi="ar-SA"/>
                    </w:rPr>
                    <m:t>η</m:t>
                  </m:r>
                  <m:ctrlPr>
                    <w:rPr>
                      <w:rFonts w:hint="default" w:ascii="Cambria Math" w:hAnsi="Cambria Math" w:cs="Times New Roman"/>
                      <w:i/>
                      <w:color w:val="auto"/>
                      <w:kern w:val="2"/>
                      <w:sz w:val="24"/>
                      <w:szCs w:val="24"/>
                      <w:highlight w:val="none"/>
                      <w:u w:val="none" w:color="auto"/>
                      <w:vertAlign w:val="baseline"/>
                      <w:lang w:val="en-US" w:eastAsia="zh-CN" w:bidi="ar-SA"/>
                    </w:rPr>
                  </m:ctrlPr>
                </m:e>
                <m:sub>
                  <m:r>
                    <w:rPr>
                      <w:rFonts w:hint="default" w:ascii="Cambria Math" w:hAnsi="Cambria Math" w:cs="Times New Roman"/>
                      <w:color w:val="auto"/>
                      <w:kern w:val="2"/>
                      <w:sz w:val="24"/>
                      <w:szCs w:val="24"/>
                      <w:highlight w:val="none"/>
                      <w:u w:val="none" w:color="auto"/>
                      <w:vertAlign w:val="baseline"/>
                      <w:lang w:val="en-US" w:eastAsia="zh-CN" w:bidi="ar-SA"/>
                    </w:rPr>
                    <m:t>s</m:t>
                  </m:r>
                  <m:ctrlPr>
                    <w:rPr>
                      <w:rFonts w:hint="default" w:ascii="Cambria Math" w:hAnsi="Cambria Math" w:cs="Times New Roman"/>
                      <w:i/>
                      <w:color w:val="auto"/>
                      <w:kern w:val="2"/>
                      <w:sz w:val="24"/>
                      <w:szCs w:val="24"/>
                      <w:highlight w:val="none"/>
                      <w:u w:val="none" w:color="auto"/>
                      <w:vertAlign w:val="baseline"/>
                      <w:lang w:val="en-US" w:eastAsia="zh-CN" w:bidi="ar-SA"/>
                    </w:rPr>
                  </m:ctrlPr>
                </m:sub>
              </m:sSub>
            </m:oMath>
            <w:r>
              <w:rPr>
                <w:rFonts w:hint="eastAsia" w:hAnsi="Cambria Math" w:cs="Times New Roman"/>
                <w:bCs/>
                <w:i w:val="0"/>
                <w:color w:val="auto"/>
                <w:kern w:val="2"/>
                <w:sz w:val="24"/>
                <w:szCs w:val="24"/>
                <w:highlight w:val="none"/>
                <w:u w:val="none" w:color="auto"/>
                <w:vertAlign w:val="baseline"/>
                <w:lang w:val="en-US" w:eastAsia="zh-CN" w:bidi="ar-SA"/>
              </w:rPr>
              <w:t>——脱硫效率，%，取0</w:t>
            </w:r>
          </w:p>
          <w:p>
            <w:pPr>
              <w:autoSpaceDE w:val="0"/>
              <w:autoSpaceDN w:val="0"/>
              <w:adjustRightInd w:val="0"/>
              <w:spacing w:line="360" w:lineRule="auto"/>
              <w:ind w:firstLine="480" w:firstLineChars="200"/>
              <w:jc w:val="both"/>
              <w:rPr>
                <w:rFonts w:hint="default" w:hAnsi="Cambria Math" w:cs="Times New Roman"/>
                <w:bCs/>
                <w:i w:val="0"/>
                <w:color w:val="auto"/>
                <w:kern w:val="2"/>
                <w:sz w:val="24"/>
                <w:szCs w:val="24"/>
                <w:highlight w:val="none"/>
                <w:u w:val="none" w:color="auto"/>
                <w:vertAlign w:val="baseline"/>
                <w:lang w:val="en-US" w:eastAsia="zh-CN" w:bidi="ar-SA"/>
              </w:rPr>
            </w:pPr>
            <w:r>
              <w:rPr>
                <w:rFonts w:hint="eastAsia" w:hAnsi="Cambria Math" w:cs="Times New Roman"/>
                <w:bCs/>
                <w:i w:val="0"/>
                <w:color w:val="auto"/>
                <w:kern w:val="2"/>
                <w:sz w:val="24"/>
                <w:szCs w:val="24"/>
                <w:highlight w:val="none"/>
                <w:u w:val="none" w:color="auto"/>
                <w:vertAlign w:val="baseline"/>
                <w:lang w:val="en-US" w:eastAsia="zh-CN" w:bidi="ar-SA"/>
              </w:rPr>
              <w:t xml:space="preserve">      K——燃料中硫燃烧后氧化成二氧化硫的份额，量纲一的量。取1.00</w:t>
            </w:r>
          </w:p>
          <w:p>
            <w:pPr>
              <w:adjustRightInd w:val="0"/>
              <w:snapToGrid w:val="0"/>
              <w:spacing w:line="360" w:lineRule="auto"/>
              <w:ind w:firstLine="480" w:firstLineChars="200"/>
              <w:rPr>
                <w:rFonts w:hint="eastAsia"/>
                <w:color w:val="auto"/>
              </w:rPr>
            </w:pPr>
            <w:r>
              <w:rPr>
                <w:rFonts w:hint="eastAsia" w:hAnsi="Cambria Math" w:cs="Times New Roman"/>
                <w:bCs/>
                <w:i w:val="0"/>
                <w:color w:val="auto"/>
                <w:kern w:val="2"/>
                <w:sz w:val="24"/>
                <w:szCs w:val="24"/>
                <w:highlight w:val="none"/>
                <w:u w:val="none" w:color="auto"/>
                <w:vertAlign w:val="baseline"/>
                <w:lang w:val="en-US" w:eastAsia="zh-CN" w:bidi="ar-SA"/>
              </w:rPr>
              <w:t>根据计算二氧化硫排放量=2×222.72t×0.001/100×（1-0.1）×（1-0）×1=0.004t/a，排放速率为0.002kg/h，排放浓度为1.011mg/m</w:t>
            </w:r>
            <w:r>
              <w:rPr>
                <w:rFonts w:hint="eastAsia" w:hAnsi="Cambria Math" w:cs="Times New Roman"/>
                <w:bCs/>
                <w:i w:val="0"/>
                <w:color w:val="auto"/>
                <w:kern w:val="2"/>
                <w:sz w:val="24"/>
                <w:szCs w:val="24"/>
                <w:highlight w:val="none"/>
                <w:u w:val="none" w:color="auto"/>
                <w:vertAlign w:val="superscript"/>
                <w:lang w:val="en-US" w:eastAsia="zh-CN" w:bidi="ar-SA"/>
              </w:rPr>
              <w:t>3</w:t>
            </w:r>
            <w:r>
              <w:rPr>
                <w:rFonts w:hint="eastAsia" w:hAnsi="Cambria Math" w:cs="Times New Roman"/>
                <w:bCs/>
                <w:i w:val="0"/>
                <w:color w:val="auto"/>
                <w:kern w:val="2"/>
                <w:sz w:val="24"/>
                <w:szCs w:val="24"/>
                <w:highlight w:val="none"/>
                <w:u w:val="none" w:color="auto"/>
                <w:vertAlign w:val="baseline"/>
                <w:lang w:val="en-US" w:eastAsia="zh-CN" w:bidi="ar-SA"/>
              </w:rPr>
              <w:t>。</w:t>
            </w:r>
          </w:p>
          <w:p>
            <w:pPr>
              <w:adjustRightInd w:val="0"/>
              <w:snapToGrid w:val="0"/>
              <w:spacing w:line="360" w:lineRule="auto"/>
              <w:ind w:firstLine="480" w:firstLineChars="200"/>
              <w:rPr>
                <w:color w:val="auto"/>
              </w:rPr>
            </w:pPr>
            <w:r>
              <w:rPr>
                <w:rFonts w:hint="eastAsia"/>
                <w:color w:val="auto"/>
              </w:rPr>
              <w:t>d氮氧化物</w:t>
            </w:r>
          </w:p>
          <w:p>
            <w:pPr>
              <w:adjustRightInd w:val="0"/>
              <w:snapToGrid w:val="0"/>
              <w:spacing w:line="360" w:lineRule="auto"/>
              <w:ind w:firstLine="480" w:firstLineChars="200"/>
              <w:rPr>
                <w:color w:val="auto"/>
              </w:rPr>
            </w:pPr>
            <w:r>
              <w:rPr>
                <w:rFonts w:hint="eastAsia"/>
                <w:color w:val="auto"/>
              </w:rPr>
              <w:t>参照《污染源源强核算技术指南锅炉》（HJ991-2018），燃气锅炉污染物氮氧化物排放量采用物料衡算法进行核算，公式如下</w:t>
            </w:r>
          </w:p>
          <w:p>
            <w:pPr>
              <w:adjustRightInd w:val="0"/>
              <w:snapToGrid w:val="0"/>
              <w:spacing w:line="360" w:lineRule="auto"/>
              <w:ind w:firstLine="480" w:firstLineChars="200"/>
              <w:rPr>
                <w:color w:val="auto"/>
              </w:rPr>
            </w:pPr>
            <w:r>
              <w:rPr>
                <w:color w:val="auto"/>
              </w:rPr>
              <w:drawing>
                <wp:inline distT="0" distB="0" distL="114300" distR="114300">
                  <wp:extent cx="2972435" cy="713105"/>
                  <wp:effectExtent l="0" t="0" r="18415" b="1079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20"/>
                          <a:stretch>
                            <a:fillRect/>
                          </a:stretch>
                        </pic:blipFill>
                        <pic:spPr>
                          <a:xfrm>
                            <a:off x="0" y="0"/>
                            <a:ext cx="2972435" cy="713105"/>
                          </a:xfrm>
                          <a:prstGeom prst="rect">
                            <a:avLst/>
                          </a:prstGeom>
                          <a:noFill/>
                          <a:ln>
                            <a:noFill/>
                          </a:ln>
                        </pic:spPr>
                      </pic:pic>
                    </a:graphicData>
                  </a:graphic>
                </wp:inline>
              </w:drawing>
            </w:r>
          </w:p>
          <w:p>
            <w:pPr>
              <w:adjustRightInd w:val="0"/>
              <w:snapToGrid w:val="0"/>
              <w:spacing w:line="360" w:lineRule="auto"/>
              <w:ind w:firstLine="480" w:firstLineChars="200"/>
              <w:rPr>
                <w:color w:val="auto"/>
              </w:rPr>
            </w:pPr>
            <w:r>
              <w:rPr>
                <w:rFonts w:hint="eastAsia"/>
                <w:color w:val="auto"/>
              </w:rPr>
              <w:t>式中：</w:t>
            </w:r>
          </w:p>
          <w:p>
            <w:pPr>
              <w:adjustRightInd w:val="0"/>
              <w:snapToGrid w:val="0"/>
              <w:spacing w:line="360" w:lineRule="auto"/>
              <w:ind w:firstLine="480" w:firstLineChars="200"/>
              <w:rPr>
                <w:color w:val="auto"/>
              </w:rPr>
            </w:pPr>
            <w:r>
              <w:rPr>
                <w:rFonts w:hint="eastAsia"/>
                <w:color w:val="auto"/>
              </w:rPr>
              <w:t>E</w:t>
            </w:r>
            <w:r>
              <w:rPr>
                <w:rFonts w:hint="eastAsia"/>
                <w:color w:val="auto"/>
                <w:vertAlign w:val="subscript"/>
              </w:rPr>
              <w:t>NOx</w:t>
            </w:r>
            <w:r>
              <w:rPr>
                <w:rFonts w:hint="eastAsia"/>
                <w:color w:val="auto"/>
              </w:rPr>
              <w:t>——核算时段内氮氧化物排放量，t；</w:t>
            </w:r>
          </w:p>
          <w:p>
            <w:pPr>
              <w:adjustRightInd w:val="0"/>
              <w:snapToGrid w:val="0"/>
              <w:spacing w:line="360" w:lineRule="auto"/>
              <w:ind w:firstLine="480" w:firstLineChars="200"/>
              <w:rPr>
                <w:color w:val="auto"/>
              </w:rPr>
            </w:pPr>
            <w:r>
              <w:rPr>
                <w:rFonts w:hint="eastAsia"/>
                <w:color w:val="auto"/>
              </w:rPr>
              <w:t>ρ</w:t>
            </w:r>
            <w:r>
              <w:rPr>
                <w:rFonts w:hint="eastAsia"/>
                <w:color w:val="auto"/>
                <w:vertAlign w:val="subscript"/>
              </w:rPr>
              <w:t>NOx</w:t>
            </w:r>
            <w:r>
              <w:rPr>
                <w:rFonts w:hint="eastAsia"/>
                <w:color w:val="auto"/>
              </w:rPr>
              <w:t>——锅炉炉膛出口氮氧化物质量浓度，mg/m</w:t>
            </w:r>
            <w:r>
              <w:rPr>
                <w:rFonts w:hint="eastAsia"/>
                <w:color w:val="auto"/>
                <w:vertAlign w:val="superscript"/>
              </w:rPr>
              <w:t>3</w:t>
            </w:r>
            <w:r>
              <w:rPr>
                <w:rFonts w:hint="eastAsia"/>
                <w:color w:val="auto"/>
              </w:rPr>
              <w:t>；（根据锅炉厂家提供设计资料，取1</w:t>
            </w:r>
            <w:r>
              <w:rPr>
                <w:rFonts w:hint="eastAsia"/>
                <w:color w:val="auto"/>
                <w:lang w:val="en-US" w:eastAsia="zh-CN"/>
              </w:rPr>
              <w:t>26</w:t>
            </w:r>
            <w:r>
              <w:rPr>
                <w:rFonts w:hint="eastAsia"/>
                <w:color w:val="auto"/>
              </w:rPr>
              <w:t>mg/m</w:t>
            </w:r>
            <w:r>
              <w:rPr>
                <w:rFonts w:hint="eastAsia"/>
                <w:color w:val="auto"/>
                <w:vertAlign w:val="superscript"/>
              </w:rPr>
              <w:t>3</w:t>
            </w:r>
            <w:r>
              <w:rPr>
                <w:rFonts w:hint="eastAsia"/>
                <w:color w:val="auto"/>
              </w:rPr>
              <w:t>）</w:t>
            </w:r>
          </w:p>
          <w:p>
            <w:pPr>
              <w:adjustRightInd w:val="0"/>
              <w:snapToGrid w:val="0"/>
              <w:spacing w:line="360" w:lineRule="auto"/>
              <w:ind w:firstLine="480" w:firstLineChars="200"/>
              <w:rPr>
                <w:color w:val="auto"/>
              </w:rPr>
            </w:pPr>
            <w:r>
              <w:rPr>
                <w:rFonts w:hint="eastAsia"/>
                <w:color w:val="auto"/>
              </w:rPr>
              <w:t>Q——核算时段内标态干烟气排放量，m</w:t>
            </w:r>
            <w:r>
              <w:rPr>
                <w:rFonts w:hint="eastAsia"/>
                <w:color w:val="auto"/>
                <w:vertAlign w:val="superscript"/>
              </w:rPr>
              <w:t>3</w:t>
            </w:r>
            <w:r>
              <w:rPr>
                <w:rFonts w:hint="eastAsia"/>
                <w:color w:val="auto"/>
              </w:rPr>
              <w:t>；</w:t>
            </w:r>
            <w:r>
              <w:rPr>
                <w:rFonts w:hint="eastAsia"/>
                <w:color w:val="auto"/>
                <w:lang w:val="en-US" w:eastAsia="zh-CN"/>
              </w:rPr>
              <w:t>取3965306.88</w:t>
            </w:r>
            <w:r>
              <w:rPr>
                <w:rFonts w:hint="eastAsia"/>
                <w:color w:val="auto"/>
              </w:rPr>
              <w:t>m</w:t>
            </w:r>
            <w:r>
              <w:rPr>
                <w:rFonts w:hint="eastAsia"/>
                <w:color w:val="auto"/>
                <w:vertAlign w:val="superscript"/>
              </w:rPr>
              <w:t>3</w:t>
            </w:r>
          </w:p>
          <w:p>
            <w:pPr>
              <w:adjustRightInd w:val="0"/>
              <w:snapToGrid w:val="0"/>
              <w:spacing w:line="360" w:lineRule="auto"/>
              <w:ind w:firstLine="480" w:firstLineChars="200"/>
              <w:rPr>
                <w:color w:val="auto"/>
              </w:rPr>
            </w:pPr>
            <w:r>
              <w:rPr>
                <w:rFonts w:hint="eastAsia"/>
                <w:color w:val="auto"/>
              </w:rPr>
              <w:t>ηNOx——脱硝效率，%。项目采用低氮燃烧技术效率按30%</w:t>
            </w:r>
            <w:r>
              <w:rPr>
                <w:rFonts w:hint="eastAsia"/>
                <w:color w:val="auto"/>
                <w:lang w:eastAsia="zh-CN"/>
              </w:rPr>
              <w:t>，</w:t>
            </w:r>
            <w:r>
              <w:rPr>
                <w:rFonts w:hint="eastAsia"/>
                <w:color w:val="auto"/>
                <w:lang w:val="en-US" w:eastAsia="zh-CN"/>
              </w:rPr>
              <w:t>为炉内进行，对产生浓度进行抑制，因此产生浓度与排放浓度均为126mg/m</w:t>
            </w:r>
            <w:r>
              <w:rPr>
                <w:rFonts w:hint="eastAsia"/>
                <w:color w:val="auto"/>
                <w:vertAlign w:val="superscript"/>
                <w:lang w:val="en-US" w:eastAsia="zh-CN"/>
              </w:rPr>
              <w:t>3</w:t>
            </w:r>
            <w:r>
              <w:rPr>
                <w:rFonts w:hint="eastAsia"/>
                <w:color w:val="auto"/>
              </w:rPr>
              <w:t>。</w:t>
            </w:r>
          </w:p>
          <w:p>
            <w:pPr>
              <w:adjustRightInd w:val="0"/>
              <w:snapToGrid w:val="0"/>
              <w:spacing w:line="360" w:lineRule="auto"/>
              <w:ind w:firstLine="480" w:firstLineChars="200"/>
              <w:rPr>
                <w:color w:val="auto"/>
              </w:rPr>
            </w:pPr>
            <w:r>
              <w:rPr>
                <w:rFonts w:hint="eastAsia"/>
                <w:color w:val="auto"/>
              </w:rPr>
              <w:t>经计算，导热油炉废气氮氧化物产生量为</w:t>
            </w:r>
            <w:r>
              <w:rPr>
                <w:rFonts w:hint="eastAsia"/>
                <w:color w:val="auto"/>
                <w:lang w:val="en-US" w:eastAsia="zh-CN"/>
              </w:rPr>
              <w:t>0.500</w:t>
            </w:r>
            <w:r>
              <w:rPr>
                <w:rFonts w:hint="eastAsia"/>
                <w:color w:val="auto"/>
              </w:rPr>
              <w:t>t/a，产生速率</w:t>
            </w:r>
            <w:r>
              <w:rPr>
                <w:rFonts w:hint="eastAsia"/>
                <w:color w:val="auto"/>
                <w:lang w:val="en-US" w:eastAsia="zh-CN"/>
              </w:rPr>
              <w:t>0.231</w:t>
            </w:r>
            <w:r>
              <w:rPr>
                <w:rFonts w:hint="eastAsia"/>
                <w:color w:val="auto"/>
              </w:rPr>
              <w:t>kg/h，产生浓度</w:t>
            </w:r>
            <w:r>
              <w:rPr>
                <w:rFonts w:hint="eastAsia"/>
                <w:color w:val="auto"/>
                <w:lang w:val="en-US" w:eastAsia="zh-CN"/>
              </w:rPr>
              <w:t>126</w:t>
            </w:r>
            <w:r>
              <w:rPr>
                <w:rFonts w:hint="eastAsia"/>
                <w:color w:val="auto"/>
              </w:rPr>
              <w:t>mg/m</w:t>
            </w:r>
            <w:r>
              <w:rPr>
                <w:rFonts w:hint="eastAsia"/>
                <w:color w:val="auto"/>
                <w:vertAlign w:val="superscript"/>
              </w:rPr>
              <w:t>3</w:t>
            </w:r>
            <w:r>
              <w:rPr>
                <w:rFonts w:hint="eastAsia"/>
                <w:color w:val="auto"/>
              </w:rPr>
              <w:t>，氮氧化物排放量为</w:t>
            </w:r>
            <w:r>
              <w:rPr>
                <w:rFonts w:hint="eastAsia"/>
                <w:color w:val="auto"/>
                <w:lang w:val="en-US" w:eastAsia="zh-CN"/>
              </w:rPr>
              <w:t>0.500</w:t>
            </w:r>
            <w:r>
              <w:rPr>
                <w:rFonts w:hint="eastAsia"/>
                <w:color w:val="auto"/>
              </w:rPr>
              <w:t>t/a，排放速率</w:t>
            </w:r>
            <w:r>
              <w:rPr>
                <w:rFonts w:hint="eastAsia"/>
                <w:color w:val="auto"/>
                <w:lang w:val="en-US" w:eastAsia="zh-CN"/>
              </w:rPr>
              <w:t>0.231</w:t>
            </w:r>
            <w:r>
              <w:rPr>
                <w:rFonts w:hint="eastAsia"/>
                <w:color w:val="auto"/>
              </w:rPr>
              <w:t>kg/h，排放浓度</w:t>
            </w:r>
            <w:r>
              <w:rPr>
                <w:rFonts w:hint="eastAsia"/>
                <w:color w:val="auto"/>
                <w:lang w:val="en-US" w:eastAsia="zh-CN"/>
              </w:rPr>
              <w:t>126</w:t>
            </w:r>
            <w:r>
              <w:rPr>
                <w:rFonts w:hint="eastAsia"/>
                <w:color w:val="auto"/>
              </w:rPr>
              <w:t>mg/m</w:t>
            </w:r>
            <w:r>
              <w:rPr>
                <w:rFonts w:hint="eastAsia"/>
                <w:color w:val="auto"/>
                <w:vertAlign w:val="superscript"/>
              </w:rPr>
              <w:t>3</w:t>
            </w:r>
            <w:r>
              <w:rPr>
                <w:rFonts w:hint="eastAsia"/>
                <w:color w:val="auto"/>
              </w:rPr>
              <w:t>。</w:t>
            </w:r>
          </w:p>
          <w:p>
            <w:pPr>
              <w:adjustRightInd w:val="0"/>
              <w:snapToGrid w:val="0"/>
              <w:jc w:val="center"/>
              <w:rPr>
                <w:b/>
                <w:bCs/>
                <w:color w:val="auto"/>
              </w:rPr>
            </w:pPr>
            <w:r>
              <w:rPr>
                <w:rFonts w:hint="eastAsia"/>
                <w:b/>
                <w:bCs/>
                <w:color w:val="auto"/>
              </w:rPr>
              <w:t>表4-2  导热油炉废气产排污情况一览表</w:t>
            </w:r>
          </w:p>
          <w:tbl>
            <w:tblPr>
              <w:tblStyle w:val="30"/>
              <w:tblW w:w="84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66"/>
              <w:gridCol w:w="672"/>
              <w:gridCol w:w="750"/>
              <w:gridCol w:w="723"/>
              <w:gridCol w:w="853"/>
              <w:gridCol w:w="799"/>
              <w:gridCol w:w="726"/>
              <w:gridCol w:w="792"/>
              <w:gridCol w:w="912"/>
              <w:gridCol w:w="882"/>
              <w:gridCol w:w="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56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工序</w:t>
                  </w:r>
                </w:p>
              </w:tc>
              <w:tc>
                <w:tcPr>
                  <w:tcW w:w="67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污染物</w:t>
                  </w:r>
                </w:p>
              </w:tc>
              <w:tc>
                <w:tcPr>
                  <w:tcW w:w="7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产生量</w:t>
                  </w:r>
                </w:p>
                <w:p>
                  <w:pPr>
                    <w:adjustRightInd w:val="0"/>
                    <w:snapToGrid w:val="0"/>
                    <w:jc w:val="center"/>
                    <w:rPr>
                      <w:rFonts w:hAnsi="宋体" w:cs="宋体"/>
                      <w:color w:val="auto"/>
                      <w:sz w:val="21"/>
                      <w:szCs w:val="21"/>
                    </w:rPr>
                  </w:pPr>
                  <w:r>
                    <w:rPr>
                      <w:rFonts w:hint="eastAsia" w:hAnsi="宋体" w:cs="宋体"/>
                      <w:color w:val="auto"/>
                      <w:sz w:val="21"/>
                      <w:szCs w:val="21"/>
                    </w:rPr>
                    <w:t>t/a</w:t>
                  </w:r>
                </w:p>
              </w:tc>
              <w:tc>
                <w:tcPr>
                  <w:tcW w:w="723"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产生速率kg/h</w:t>
                  </w:r>
                </w:p>
              </w:tc>
              <w:tc>
                <w:tcPr>
                  <w:tcW w:w="853"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产生浓度mg/m</w:t>
                  </w:r>
                  <w:r>
                    <w:rPr>
                      <w:rFonts w:hint="eastAsia" w:hAnsi="宋体" w:cs="宋体"/>
                      <w:color w:val="auto"/>
                      <w:sz w:val="21"/>
                      <w:szCs w:val="21"/>
                      <w:vertAlign w:val="superscript"/>
                    </w:rPr>
                    <w:t>3</w:t>
                  </w:r>
                </w:p>
              </w:tc>
              <w:tc>
                <w:tcPr>
                  <w:tcW w:w="799"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烟气量</w:t>
                  </w:r>
                </w:p>
                <w:p>
                  <w:pPr>
                    <w:adjustRightInd w:val="0"/>
                    <w:snapToGrid w:val="0"/>
                    <w:jc w:val="center"/>
                    <w:rPr>
                      <w:rFonts w:hAnsi="宋体" w:cs="宋体"/>
                      <w:color w:val="auto"/>
                      <w:sz w:val="21"/>
                      <w:szCs w:val="21"/>
                    </w:rPr>
                  </w:pPr>
                  <w:r>
                    <w:rPr>
                      <w:rFonts w:hint="eastAsia" w:hAnsi="宋体" w:cs="宋体"/>
                      <w:color w:val="auto"/>
                      <w:sz w:val="21"/>
                      <w:szCs w:val="21"/>
                    </w:rPr>
                    <w:t>m</w:t>
                  </w:r>
                  <w:r>
                    <w:rPr>
                      <w:rFonts w:hint="eastAsia" w:hAnsi="宋体" w:cs="宋体"/>
                      <w:color w:val="auto"/>
                      <w:sz w:val="21"/>
                      <w:szCs w:val="21"/>
                      <w:vertAlign w:val="superscript"/>
                    </w:rPr>
                    <w:t>3</w:t>
                  </w:r>
                  <w:r>
                    <w:rPr>
                      <w:rFonts w:hint="eastAsia" w:hAnsi="宋体" w:cs="宋体"/>
                      <w:color w:val="auto"/>
                      <w:sz w:val="21"/>
                      <w:szCs w:val="21"/>
                    </w:rPr>
                    <w:t>/h</w:t>
                  </w:r>
                </w:p>
              </w:tc>
              <w:tc>
                <w:tcPr>
                  <w:tcW w:w="72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去除率</w:t>
                  </w:r>
                </w:p>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9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排放量t/a</w:t>
                  </w:r>
                </w:p>
              </w:tc>
              <w:tc>
                <w:tcPr>
                  <w:tcW w:w="91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排放速率kg/h</w:t>
                  </w:r>
                </w:p>
              </w:tc>
              <w:tc>
                <w:tcPr>
                  <w:tcW w:w="88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排放浓度mg/m</w:t>
                  </w:r>
                  <w:r>
                    <w:rPr>
                      <w:rFonts w:hint="eastAsia" w:hAnsi="宋体" w:cs="宋体"/>
                      <w:color w:val="auto"/>
                      <w:sz w:val="21"/>
                      <w:szCs w:val="21"/>
                      <w:vertAlign w:val="superscript"/>
                    </w:rPr>
                    <w:t>3</w:t>
                  </w:r>
                </w:p>
              </w:tc>
              <w:tc>
                <w:tcPr>
                  <w:tcW w:w="759"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运行时间h/a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566" w:type="dxa"/>
                  <w:vMerge w:val="restart"/>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导热油炉燃烧废气</w:t>
                  </w:r>
                </w:p>
              </w:tc>
              <w:tc>
                <w:tcPr>
                  <w:tcW w:w="67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c>
                <w:tcPr>
                  <w:tcW w:w="750"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0.058</w:t>
                  </w:r>
                </w:p>
              </w:tc>
              <w:tc>
                <w:tcPr>
                  <w:tcW w:w="723"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0.027</w:t>
                  </w:r>
                </w:p>
              </w:tc>
              <w:tc>
                <w:tcPr>
                  <w:tcW w:w="853"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14.60</w:t>
                  </w:r>
                </w:p>
              </w:tc>
              <w:tc>
                <w:tcPr>
                  <w:tcW w:w="799" w:type="dxa"/>
                  <w:vMerge w:val="restart"/>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1836</w:t>
                  </w:r>
                </w:p>
              </w:tc>
              <w:tc>
                <w:tcPr>
                  <w:tcW w:w="72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79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0.058</w:t>
                  </w:r>
                </w:p>
              </w:tc>
              <w:tc>
                <w:tcPr>
                  <w:tcW w:w="91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0.027</w:t>
                  </w:r>
                </w:p>
              </w:tc>
              <w:tc>
                <w:tcPr>
                  <w:tcW w:w="88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14.60</w:t>
                  </w:r>
                </w:p>
              </w:tc>
              <w:tc>
                <w:tcPr>
                  <w:tcW w:w="759" w:type="dxa"/>
                  <w:vMerge w:val="restart"/>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2160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566"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67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二氧化硫</w:t>
                  </w:r>
                </w:p>
              </w:tc>
              <w:tc>
                <w:tcPr>
                  <w:tcW w:w="750"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0.004</w:t>
                  </w:r>
                </w:p>
              </w:tc>
              <w:tc>
                <w:tcPr>
                  <w:tcW w:w="723"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0.002</w:t>
                  </w:r>
                </w:p>
              </w:tc>
              <w:tc>
                <w:tcPr>
                  <w:tcW w:w="853"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1.011</w:t>
                  </w:r>
                </w:p>
              </w:tc>
              <w:tc>
                <w:tcPr>
                  <w:tcW w:w="799"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72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79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0.004</w:t>
                  </w:r>
                </w:p>
              </w:tc>
              <w:tc>
                <w:tcPr>
                  <w:tcW w:w="91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0.002</w:t>
                  </w:r>
                </w:p>
              </w:tc>
              <w:tc>
                <w:tcPr>
                  <w:tcW w:w="88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1.011</w:t>
                  </w:r>
                </w:p>
              </w:tc>
              <w:tc>
                <w:tcPr>
                  <w:tcW w:w="759" w:type="dxa"/>
                  <w:vMerge w:val="continue"/>
                  <w:tcBorders>
                    <w:tl2br w:val="nil"/>
                    <w:tr2bl w:val="nil"/>
                  </w:tcBorders>
                  <w:vAlign w:val="center"/>
                </w:tcPr>
                <w:p>
                  <w:pPr>
                    <w:adjustRightInd w:val="0"/>
                    <w:snapToGrid w:val="0"/>
                    <w:jc w:val="center"/>
                    <w:rPr>
                      <w:rFonts w:hAnsi="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63" w:hRule="atLeast"/>
                <w:jc w:val="center"/>
              </w:trPr>
              <w:tc>
                <w:tcPr>
                  <w:tcW w:w="566"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672"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氮氧化物</w:t>
                  </w:r>
                </w:p>
              </w:tc>
              <w:tc>
                <w:tcPr>
                  <w:tcW w:w="750"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0.500</w:t>
                  </w:r>
                </w:p>
              </w:tc>
              <w:tc>
                <w:tcPr>
                  <w:tcW w:w="723"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0.231</w:t>
                  </w:r>
                </w:p>
              </w:tc>
              <w:tc>
                <w:tcPr>
                  <w:tcW w:w="853" w:type="dxa"/>
                  <w:tcBorders>
                    <w:tl2br w:val="nil"/>
                    <w:tr2bl w:val="nil"/>
                  </w:tcBorders>
                  <w:vAlign w:val="center"/>
                </w:tcPr>
                <w:p>
                  <w:pPr>
                    <w:adjustRightInd w:val="0"/>
                    <w:snapToGrid w:val="0"/>
                    <w:jc w:val="center"/>
                    <w:rPr>
                      <w:rFonts w:hint="default" w:hAnsi="宋体" w:cs="宋体"/>
                      <w:color w:val="auto"/>
                      <w:sz w:val="21"/>
                      <w:szCs w:val="21"/>
                      <w:lang w:val="en-US"/>
                    </w:rPr>
                  </w:pPr>
                  <w:r>
                    <w:rPr>
                      <w:rFonts w:hint="eastAsia" w:hAnsi="宋体" w:cs="宋体"/>
                      <w:color w:val="auto"/>
                      <w:sz w:val="21"/>
                      <w:szCs w:val="21"/>
                      <w:lang w:val="en-US" w:eastAsia="zh-CN"/>
                    </w:rPr>
                    <w:t>126</w:t>
                  </w:r>
                </w:p>
              </w:tc>
              <w:tc>
                <w:tcPr>
                  <w:tcW w:w="799"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726" w:type="dxa"/>
                  <w:tcBorders>
                    <w:tl2br w:val="nil"/>
                    <w:tr2bl w:val="nil"/>
                  </w:tcBorders>
                  <w:vAlign w:val="center"/>
                </w:tcPr>
                <w:p>
                  <w:pPr>
                    <w:adjustRightInd w:val="0"/>
                    <w:snapToGrid w:val="0"/>
                    <w:jc w:val="center"/>
                    <w:rPr>
                      <w:rFonts w:hint="eastAsia" w:hAnsi="宋体" w:eastAsia="宋体" w:cs="宋体"/>
                      <w:color w:val="auto"/>
                      <w:sz w:val="21"/>
                      <w:szCs w:val="21"/>
                      <w:lang w:eastAsia="zh-CN"/>
                    </w:rPr>
                  </w:pPr>
                  <w:r>
                    <w:rPr>
                      <w:rFonts w:hint="eastAsia" w:hAnsi="宋体" w:cs="宋体"/>
                      <w:color w:val="auto"/>
                      <w:sz w:val="21"/>
                      <w:szCs w:val="21"/>
                    </w:rPr>
                    <w:t>30</w:t>
                  </w:r>
                  <w:r>
                    <w:rPr>
                      <w:rFonts w:hint="eastAsia" w:hAnsi="宋体" w:cs="宋体"/>
                      <w:color w:val="auto"/>
                      <w:sz w:val="21"/>
                      <w:szCs w:val="21"/>
                      <w:lang w:eastAsia="zh-CN"/>
                    </w:rPr>
                    <w:t>（</w:t>
                  </w:r>
                  <w:r>
                    <w:rPr>
                      <w:rFonts w:hint="eastAsia" w:hAnsi="宋体" w:cs="宋体"/>
                      <w:color w:val="auto"/>
                      <w:sz w:val="21"/>
                      <w:szCs w:val="21"/>
                      <w:lang w:val="en-US" w:eastAsia="zh-CN"/>
                    </w:rPr>
                    <w:t>产生浓度抑制</w:t>
                  </w:r>
                  <w:r>
                    <w:rPr>
                      <w:rFonts w:hint="eastAsia" w:hAnsi="宋体" w:cs="宋体"/>
                      <w:color w:val="auto"/>
                      <w:sz w:val="21"/>
                      <w:szCs w:val="21"/>
                      <w:lang w:eastAsia="zh-CN"/>
                    </w:rPr>
                    <w:t>）</w:t>
                  </w:r>
                </w:p>
              </w:tc>
              <w:tc>
                <w:tcPr>
                  <w:tcW w:w="792"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0.500</w:t>
                  </w:r>
                </w:p>
              </w:tc>
              <w:tc>
                <w:tcPr>
                  <w:tcW w:w="912"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0.231</w:t>
                  </w:r>
                </w:p>
              </w:tc>
              <w:tc>
                <w:tcPr>
                  <w:tcW w:w="882"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126</w:t>
                  </w:r>
                </w:p>
              </w:tc>
              <w:tc>
                <w:tcPr>
                  <w:tcW w:w="759" w:type="dxa"/>
                  <w:vMerge w:val="continue"/>
                  <w:tcBorders>
                    <w:tl2br w:val="nil"/>
                    <w:tr2bl w:val="nil"/>
                  </w:tcBorders>
                  <w:vAlign w:val="center"/>
                </w:tcPr>
                <w:p>
                  <w:pPr>
                    <w:adjustRightInd w:val="0"/>
                    <w:snapToGrid w:val="0"/>
                    <w:jc w:val="center"/>
                    <w:rPr>
                      <w:rFonts w:hAnsi="宋体" w:cs="宋体"/>
                      <w:color w:val="auto"/>
                      <w:sz w:val="21"/>
                      <w:szCs w:val="21"/>
                    </w:rPr>
                  </w:pPr>
                </w:p>
              </w:tc>
            </w:tr>
          </w:tbl>
          <w:p>
            <w:pPr>
              <w:adjustRightInd w:val="0"/>
              <w:snapToGrid w:val="0"/>
              <w:spacing w:line="360" w:lineRule="auto"/>
              <w:ind w:firstLine="520" w:firstLineChars="200"/>
              <w:rPr>
                <w:color w:val="auto"/>
              </w:rPr>
            </w:pPr>
            <w:r>
              <w:rPr>
                <w:rFonts w:hint="eastAsia"/>
                <w:color w:val="auto"/>
                <w:spacing w:val="10"/>
              </w:rPr>
              <w:t>本项目导热油炉产生的废气经低氮燃烧技术处理后，通过1</w:t>
            </w:r>
            <w:r>
              <w:rPr>
                <w:rFonts w:hint="eastAsia"/>
                <w:color w:val="auto"/>
                <w:spacing w:val="10"/>
                <w:lang w:val="en-US" w:eastAsia="zh-CN"/>
              </w:rPr>
              <w:t>5</w:t>
            </w:r>
            <w:r>
              <w:rPr>
                <w:rFonts w:hint="eastAsia"/>
                <w:color w:val="auto"/>
                <w:spacing w:val="10"/>
              </w:rPr>
              <w:t>m高排气筒（DA001）排放，污染物排放满足《锅炉大气污染物排放标准》（GB13271-2014）表2污染物排放限值要求。</w:t>
            </w:r>
          </w:p>
          <w:p>
            <w:pPr>
              <w:adjustRightInd w:val="0"/>
              <w:snapToGrid w:val="0"/>
              <w:spacing w:line="360" w:lineRule="auto"/>
              <w:ind w:firstLine="480" w:firstLineChars="200"/>
              <w:rPr>
                <w:color w:val="auto"/>
              </w:rPr>
            </w:pPr>
            <w:r>
              <w:rPr>
                <w:rFonts w:hint="eastAsia" w:ascii="宋体" w:hAnsi="宋体" w:cs="宋体"/>
                <w:color w:val="auto"/>
              </w:rPr>
              <w:t>⑥搅拌过程中</w:t>
            </w:r>
            <w:r>
              <w:rPr>
                <w:rFonts w:hint="eastAsia"/>
                <w:color w:val="auto"/>
              </w:rPr>
              <w:t>沥青烟</w:t>
            </w:r>
          </w:p>
          <w:p>
            <w:pPr>
              <w:adjustRightInd w:val="0"/>
              <w:snapToGrid w:val="0"/>
              <w:spacing w:line="360" w:lineRule="auto"/>
              <w:ind w:firstLine="496" w:firstLineChars="200"/>
              <w:rPr>
                <w:color w:val="auto"/>
                <w:spacing w:val="4"/>
              </w:rPr>
            </w:pPr>
            <w:r>
              <w:rPr>
                <w:color w:val="auto"/>
                <w:spacing w:val="4"/>
              </w:rPr>
              <w:t>本项目沥青混凝土生产主要原料为沥青，沥青在加热和搅拌过</w:t>
            </w:r>
            <w:r>
              <w:rPr>
                <w:color w:val="auto"/>
                <w:spacing w:val="8"/>
              </w:rPr>
              <w:t>程中会产生多种化学物质的混合烟气</w:t>
            </w:r>
            <w:r>
              <w:rPr>
                <w:rFonts w:eastAsia="Times New Roman"/>
                <w:color w:val="auto"/>
                <w:spacing w:val="8"/>
              </w:rPr>
              <w:t>-</w:t>
            </w:r>
            <w:r>
              <w:rPr>
                <w:color w:val="auto"/>
                <w:spacing w:val="8"/>
              </w:rPr>
              <w:t>沥青烟和苯并</w:t>
            </w:r>
            <w:r>
              <w:rPr>
                <w:rFonts w:eastAsia="Times New Roman"/>
                <w:color w:val="auto"/>
                <w:spacing w:val="8"/>
              </w:rPr>
              <w:t>[a]</w:t>
            </w:r>
            <w:r>
              <w:rPr>
                <w:color w:val="auto"/>
                <w:spacing w:val="8"/>
              </w:rPr>
              <w:t>芘。经过导热油炉加热</w:t>
            </w:r>
            <w:r>
              <w:rPr>
                <w:color w:val="auto"/>
                <w:spacing w:val="1"/>
              </w:rPr>
              <w:t>的导热油对储罐内的沥青进行间接加热，直至</w:t>
            </w:r>
            <w:r>
              <w:rPr>
                <w:rFonts w:eastAsia="Times New Roman"/>
                <w:color w:val="auto"/>
                <w:spacing w:val="1"/>
              </w:rPr>
              <w:t>150</w:t>
            </w:r>
            <w:r>
              <w:rPr>
                <w:color w:val="auto"/>
                <w:spacing w:val="1"/>
              </w:rPr>
              <w:t>～</w:t>
            </w:r>
            <w:r>
              <w:rPr>
                <w:rFonts w:eastAsia="Times New Roman"/>
                <w:color w:val="auto"/>
                <w:spacing w:val="1"/>
              </w:rPr>
              <w:t>180℃</w:t>
            </w:r>
            <w:r>
              <w:rPr>
                <w:color w:val="auto"/>
                <w:spacing w:val="1"/>
              </w:rPr>
              <w:t>左右，为了防止沥青</w:t>
            </w:r>
            <w:r>
              <w:rPr>
                <w:color w:val="auto"/>
                <w:spacing w:val="7"/>
              </w:rPr>
              <w:t>凝固，在沥青站生产期间，需要导热油炉</w:t>
            </w:r>
            <w:r>
              <w:rPr>
                <w:rFonts w:eastAsia="Times New Roman"/>
                <w:color w:val="auto"/>
                <w:spacing w:val="7"/>
              </w:rPr>
              <w:t>24</w:t>
            </w:r>
            <w:r>
              <w:rPr>
                <w:color w:val="auto"/>
                <w:spacing w:val="7"/>
              </w:rPr>
              <w:t>小时对储罐连续</w:t>
            </w:r>
            <w:r>
              <w:rPr>
                <w:color w:val="auto"/>
                <w:spacing w:val="6"/>
              </w:rPr>
              <w:t>加热，沥青加热</w:t>
            </w:r>
            <w:r>
              <w:rPr>
                <w:color w:val="auto"/>
                <w:spacing w:val="5"/>
              </w:rPr>
              <w:t>后通过密闭管道输送至封闭搅拌器与预热后的</w:t>
            </w:r>
            <w:r>
              <w:rPr>
                <w:color w:val="auto"/>
                <w:spacing w:val="4"/>
              </w:rPr>
              <w:t>骨料进行搅拌混合。</w:t>
            </w:r>
            <w:r>
              <w:rPr>
                <w:rFonts w:hint="eastAsia"/>
                <w:color w:val="auto"/>
                <w:spacing w:val="4"/>
              </w:rPr>
              <w:t>石油沥青在加热过程中产生的主要污染物为沥青烟、苯并[a]芘等。</w:t>
            </w:r>
          </w:p>
          <w:p>
            <w:pPr>
              <w:tabs>
                <w:tab w:val="left" w:pos="6240"/>
              </w:tabs>
              <w:adjustRightInd w:val="0"/>
              <w:snapToGrid w:val="0"/>
              <w:spacing w:line="360" w:lineRule="auto"/>
              <w:ind w:firstLine="496" w:firstLineChars="200"/>
              <w:rPr>
                <w:color w:val="auto"/>
                <w:kern w:val="0"/>
              </w:rPr>
            </w:pPr>
            <w:r>
              <w:rPr>
                <w:rFonts w:hint="eastAsia"/>
                <w:color w:val="auto"/>
                <w:spacing w:val="4"/>
              </w:rPr>
              <w:t>本项目沥青加热过程、</w:t>
            </w:r>
            <w:r>
              <w:rPr>
                <w:color w:val="auto"/>
                <w:spacing w:val="12"/>
              </w:rPr>
              <w:t>搅拌过程的产污系数参考前苏联拉扎列夫主编的</w:t>
            </w:r>
            <w:r>
              <w:rPr>
                <w:color w:val="auto"/>
              </w:rPr>
              <w:t>《工业生产中有害物</w:t>
            </w:r>
            <w:r>
              <w:rPr>
                <w:rFonts w:hint="eastAsia"/>
                <w:color w:val="auto"/>
                <w:lang w:eastAsia="zh-CN"/>
              </w:rPr>
              <w:t>质</w:t>
            </w:r>
            <w:r>
              <w:rPr>
                <w:color w:val="auto"/>
              </w:rPr>
              <w:t>手册》第一卷（化学工业出版社，</w:t>
            </w:r>
            <w:r>
              <w:rPr>
                <w:rFonts w:eastAsia="Times New Roman"/>
                <w:color w:val="auto"/>
              </w:rPr>
              <w:t>1987</w:t>
            </w:r>
            <w:r>
              <w:rPr>
                <w:color w:val="auto"/>
              </w:rPr>
              <w:t>年</w:t>
            </w:r>
            <w:r>
              <w:rPr>
                <w:rFonts w:eastAsia="Times New Roman"/>
                <w:color w:val="auto"/>
              </w:rPr>
              <w:t>12</w:t>
            </w:r>
            <w:r>
              <w:rPr>
                <w:color w:val="auto"/>
              </w:rPr>
              <w:t>月出版）</w:t>
            </w:r>
            <w:r>
              <w:rPr>
                <w:color w:val="auto"/>
                <w:spacing w:val="-6"/>
              </w:rPr>
              <w:t>及金相灿主编的《有机化合物污染化学》（清华大学出版社，</w:t>
            </w:r>
            <w:r>
              <w:rPr>
                <w:rFonts w:eastAsia="Times New Roman"/>
                <w:color w:val="auto"/>
                <w:spacing w:val="-6"/>
              </w:rPr>
              <w:t>1990</w:t>
            </w:r>
            <w:r>
              <w:rPr>
                <w:color w:val="auto"/>
                <w:spacing w:val="-6"/>
              </w:rPr>
              <w:t>年</w:t>
            </w:r>
            <w:r>
              <w:rPr>
                <w:rFonts w:eastAsia="Times New Roman"/>
                <w:color w:val="auto"/>
                <w:spacing w:val="-6"/>
              </w:rPr>
              <w:t>8</w:t>
            </w:r>
            <w:r>
              <w:rPr>
                <w:color w:val="auto"/>
                <w:spacing w:val="-6"/>
              </w:rPr>
              <w:t>月出版</w:t>
            </w:r>
            <w:r>
              <w:rPr>
                <w:color w:val="auto"/>
                <w:spacing w:val="-63"/>
              </w:rPr>
              <w:t>）</w:t>
            </w:r>
            <w:r>
              <w:rPr>
                <w:rFonts w:hint="eastAsia"/>
                <w:color w:val="auto"/>
                <w:spacing w:val="-63"/>
              </w:rPr>
              <w:t>，</w:t>
            </w:r>
            <w:r>
              <w:rPr>
                <w:color w:val="auto"/>
              </w:rPr>
              <w:t>沥青烟产生系数为</w:t>
            </w:r>
            <w:r>
              <w:rPr>
                <w:rFonts w:hint="eastAsia"/>
                <w:color w:val="auto"/>
              </w:rPr>
              <w:t>562.5</w:t>
            </w:r>
            <w:r>
              <w:rPr>
                <w:rFonts w:eastAsia="Times New Roman"/>
                <w:color w:val="auto"/>
              </w:rPr>
              <w:t>g/</w:t>
            </w:r>
            <w:r>
              <w:rPr>
                <w:rFonts w:ascii="Times New Roman" w:hAnsi="Times New Roman" w:eastAsia="Times New Roman" w:cs="Times New Roman"/>
                <w:color w:val="auto"/>
              </w:rPr>
              <w:t>t沥青</w:t>
            </w:r>
            <w:r>
              <w:rPr>
                <w:rFonts w:hint="eastAsia" w:ascii="Times New Roman" w:hAnsi="Times New Roman" w:eastAsia="Times New Roman" w:cs="Times New Roman"/>
                <w:color w:val="auto"/>
              </w:rPr>
              <w:t>，</w:t>
            </w:r>
            <w:r>
              <w:rPr>
                <w:rFonts w:hint="default" w:ascii="Times New Roman" w:hAnsi="Times New Roman" w:eastAsia="Times New Roman" w:cs="Times New Roman"/>
                <w:color w:val="auto"/>
              </w:rPr>
              <w:t>每吨石油沥青在加热（150℃~170℃）过程中可产生非甲烷总烃气体2.5g/t。</w:t>
            </w:r>
            <w:r>
              <w:rPr>
                <w:rFonts w:hint="eastAsia" w:ascii="Times New Roman" w:hAnsi="Times New Roman" w:eastAsia="Times New Roman" w:cs="Times New Roman"/>
                <w:color w:val="auto"/>
              </w:rPr>
              <w:t>沥青</w:t>
            </w:r>
            <w:r>
              <w:rPr>
                <w:rFonts w:hint="eastAsia"/>
                <w:color w:val="auto"/>
              </w:rPr>
              <w:t>烟中</w:t>
            </w:r>
            <w:r>
              <w:rPr>
                <w:color w:val="auto"/>
                <w:kern w:val="0"/>
              </w:rPr>
              <w:t>苯并[a]芘含量约0.01～0.02‰，本次评价取平均值0.015‰。本项目年消耗</w:t>
            </w:r>
            <w:r>
              <w:rPr>
                <w:rFonts w:hint="eastAsia"/>
                <w:color w:val="auto"/>
                <w:kern w:val="0"/>
              </w:rPr>
              <w:t>1</w:t>
            </w:r>
            <w:r>
              <w:rPr>
                <w:rFonts w:hint="eastAsia"/>
                <w:color w:val="auto"/>
                <w:kern w:val="0"/>
                <w:lang w:val="en-US" w:eastAsia="zh-CN"/>
              </w:rPr>
              <w:t>0530</w:t>
            </w:r>
            <w:r>
              <w:rPr>
                <w:color w:val="auto"/>
                <w:kern w:val="0"/>
              </w:rPr>
              <w:t>t沥青。</w:t>
            </w:r>
            <w:r>
              <w:rPr>
                <w:rFonts w:hint="eastAsia"/>
                <w:color w:val="auto"/>
                <w:kern w:val="0"/>
              </w:rPr>
              <w:t>经计算，沥青烟产生量为</w:t>
            </w:r>
            <w:r>
              <w:rPr>
                <w:rFonts w:hint="eastAsia"/>
                <w:color w:val="auto"/>
                <w:kern w:val="0"/>
                <w:lang w:val="en-US" w:eastAsia="zh-CN"/>
              </w:rPr>
              <w:t>5.923</w:t>
            </w:r>
            <w:r>
              <w:rPr>
                <w:rFonts w:hint="eastAsia"/>
                <w:color w:val="auto"/>
                <w:kern w:val="0"/>
              </w:rPr>
              <w:t>t/a（</w:t>
            </w:r>
            <w:r>
              <w:rPr>
                <w:rFonts w:hint="eastAsia"/>
                <w:color w:val="auto"/>
                <w:kern w:val="0"/>
                <w:lang w:val="en-US" w:eastAsia="zh-CN"/>
              </w:rPr>
              <w:t>5.484</w:t>
            </w:r>
            <w:r>
              <w:rPr>
                <w:rFonts w:hint="eastAsia"/>
                <w:color w:val="auto"/>
                <w:kern w:val="0"/>
              </w:rPr>
              <w:t>kg/h）</w:t>
            </w:r>
            <w:r>
              <w:rPr>
                <w:color w:val="auto"/>
              </w:rPr>
              <w:t>。</w:t>
            </w:r>
            <w:r>
              <w:rPr>
                <w:color w:val="auto"/>
                <w:kern w:val="0"/>
              </w:rPr>
              <w:t>苯并[a]芘产生量为</w:t>
            </w:r>
            <w:r>
              <w:rPr>
                <w:rFonts w:hint="eastAsia"/>
                <w:color w:val="auto"/>
                <w:kern w:val="0"/>
                <w:lang w:val="en-US" w:eastAsia="zh-CN"/>
              </w:rPr>
              <w:t>8.88</w:t>
            </w:r>
            <w:r>
              <w:rPr>
                <w:color w:val="auto"/>
                <w:kern w:val="0"/>
              </w:rPr>
              <w:t>×10</w:t>
            </w:r>
            <w:r>
              <w:rPr>
                <w:rFonts w:hint="eastAsia"/>
                <w:color w:val="auto"/>
                <w:kern w:val="0"/>
                <w:vertAlign w:val="superscript"/>
              </w:rPr>
              <w:t>-</w:t>
            </w:r>
            <w:r>
              <w:rPr>
                <w:rFonts w:hint="eastAsia"/>
                <w:color w:val="auto"/>
                <w:kern w:val="0"/>
                <w:vertAlign w:val="superscript"/>
                <w:lang w:val="en-US" w:eastAsia="zh-CN"/>
              </w:rPr>
              <w:t>5</w:t>
            </w:r>
            <w:r>
              <w:rPr>
                <w:color w:val="auto"/>
                <w:kern w:val="0"/>
              </w:rPr>
              <w:t>t/a，</w:t>
            </w:r>
            <w:r>
              <w:rPr>
                <w:rFonts w:hint="eastAsia"/>
                <w:color w:val="auto"/>
                <w:kern w:val="0"/>
                <w:lang w:val="en-US" w:eastAsia="zh-CN"/>
              </w:rPr>
              <w:t>8.22</w:t>
            </w:r>
            <w:r>
              <w:rPr>
                <w:color w:val="auto"/>
                <w:kern w:val="0"/>
              </w:rPr>
              <w:t>×10</w:t>
            </w:r>
            <w:r>
              <w:rPr>
                <w:color w:val="auto"/>
                <w:kern w:val="0"/>
                <w:vertAlign w:val="superscript"/>
              </w:rPr>
              <w:t>-</w:t>
            </w:r>
            <w:r>
              <w:rPr>
                <w:rFonts w:hint="eastAsia"/>
                <w:color w:val="auto"/>
                <w:kern w:val="0"/>
                <w:vertAlign w:val="superscript"/>
                <w:lang w:val="en-US" w:eastAsia="zh-CN"/>
              </w:rPr>
              <w:t>5</w:t>
            </w:r>
            <w:r>
              <w:rPr>
                <w:color w:val="auto"/>
                <w:kern w:val="0"/>
              </w:rPr>
              <w:t>kg/h</w:t>
            </w:r>
            <w:r>
              <w:rPr>
                <w:rFonts w:hint="eastAsia"/>
                <w:color w:val="auto"/>
                <w:kern w:val="0"/>
              </w:rPr>
              <w:t>。</w:t>
            </w:r>
            <w:r>
              <w:rPr>
                <w:rFonts w:hint="eastAsia"/>
                <w:color w:val="auto"/>
                <w:kern w:val="0"/>
                <w:lang w:val="en-US" w:eastAsia="zh-CN"/>
              </w:rPr>
              <w:t>非甲烷总烃产生量为0.026t/a（0.024kg/h）。</w:t>
            </w:r>
            <w:r>
              <w:rPr>
                <w:rFonts w:hint="eastAsia"/>
                <w:color w:val="auto"/>
                <w:kern w:val="0"/>
              </w:rPr>
              <w:t>本项目采用活性炭吸附装置+</w:t>
            </w:r>
            <w:r>
              <w:rPr>
                <w:rFonts w:hint="eastAsia"/>
                <w:color w:val="auto"/>
                <w:kern w:val="0"/>
                <w:lang w:val="en-US" w:eastAsia="zh-CN"/>
              </w:rPr>
              <w:t>15</w:t>
            </w:r>
            <w:r>
              <w:rPr>
                <w:rFonts w:hint="eastAsia"/>
                <w:color w:val="auto"/>
                <w:kern w:val="0"/>
              </w:rPr>
              <w:t>m高排气筒（DA003）排放，</w:t>
            </w:r>
            <w:r>
              <w:rPr>
                <w:rFonts w:hint="eastAsia"/>
                <w:color w:val="auto"/>
                <w:kern w:val="0"/>
                <w:lang w:val="en-US" w:eastAsia="zh-CN"/>
              </w:rPr>
              <w:t>布袋除尘器效率为99%，</w:t>
            </w:r>
            <w:r>
              <w:rPr>
                <w:rFonts w:hint="eastAsia"/>
                <w:color w:val="auto"/>
                <w:kern w:val="0"/>
              </w:rPr>
              <w:t>活性炭吸附效率为90%，风机风量为</w:t>
            </w:r>
            <w:r>
              <w:rPr>
                <w:rFonts w:hint="eastAsia"/>
                <w:color w:val="auto"/>
                <w:kern w:val="0"/>
                <w:lang w:val="en-US" w:eastAsia="zh-CN"/>
              </w:rPr>
              <w:t>1</w:t>
            </w:r>
            <w:r>
              <w:rPr>
                <w:rFonts w:hint="eastAsia"/>
                <w:color w:val="auto"/>
                <w:kern w:val="0"/>
              </w:rPr>
              <w:t>0000m</w:t>
            </w:r>
            <w:r>
              <w:rPr>
                <w:rFonts w:hint="eastAsia"/>
                <w:color w:val="auto"/>
                <w:kern w:val="0"/>
                <w:vertAlign w:val="superscript"/>
              </w:rPr>
              <w:t>3</w:t>
            </w:r>
            <w:r>
              <w:rPr>
                <w:rFonts w:hint="eastAsia"/>
                <w:color w:val="auto"/>
                <w:kern w:val="0"/>
              </w:rPr>
              <w:t>/h。沥青烟排放量为</w:t>
            </w:r>
            <w:r>
              <w:rPr>
                <w:rFonts w:hint="eastAsia"/>
                <w:color w:val="auto"/>
                <w:kern w:val="0"/>
                <w:lang w:val="en-US" w:eastAsia="zh-CN"/>
              </w:rPr>
              <w:t>0.059</w:t>
            </w:r>
            <w:r>
              <w:rPr>
                <w:rFonts w:hint="eastAsia"/>
                <w:color w:val="auto"/>
                <w:kern w:val="0"/>
              </w:rPr>
              <w:t>t/a（0.0</w:t>
            </w:r>
            <w:r>
              <w:rPr>
                <w:rFonts w:hint="eastAsia"/>
                <w:color w:val="auto"/>
                <w:kern w:val="0"/>
                <w:lang w:val="en-US" w:eastAsia="zh-CN"/>
              </w:rPr>
              <w:t>55</w:t>
            </w:r>
            <w:r>
              <w:rPr>
                <w:rFonts w:hint="eastAsia"/>
                <w:color w:val="auto"/>
                <w:kern w:val="0"/>
              </w:rPr>
              <w:t>kg/h），</w:t>
            </w:r>
            <w:r>
              <w:rPr>
                <w:rFonts w:hint="eastAsia"/>
                <w:color w:val="auto"/>
                <w:kern w:val="0"/>
                <w:lang w:val="en-US" w:eastAsia="zh-CN"/>
              </w:rPr>
              <w:t>5.484</w:t>
            </w:r>
            <w:r>
              <w:rPr>
                <w:rFonts w:hint="eastAsia"/>
                <w:color w:val="auto"/>
                <w:kern w:val="0"/>
              </w:rPr>
              <w:t>mg/m</w:t>
            </w:r>
            <w:r>
              <w:rPr>
                <w:rFonts w:hint="eastAsia"/>
                <w:color w:val="auto"/>
                <w:kern w:val="0"/>
                <w:vertAlign w:val="superscript"/>
              </w:rPr>
              <w:t>3</w:t>
            </w:r>
            <w:r>
              <w:rPr>
                <w:rFonts w:hint="eastAsia"/>
                <w:color w:val="auto"/>
                <w:kern w:val="0"/>
              </w:rPr>
              <w:t>，</w:t>
            </w:r>
            <w:r>
              <w:rPr>
                <w:rFonts w:hint="eastAsia"/>
                <w:color w:val="auto"/>
                <w:kern w:val="0"/>
                <w:lang w:val="en-US" w:eastAsia="zh-CN"/>
              </w:rPr>
              <w:t>非甲烷总烃排放量为0.003t/a（0.002kg/h），0.24mg/m</w:t>
            </w:r>
            <w:r>
              <w:rPr>
                <w:rFonts w:hint="eastAsia"/>
                <w:color w:val="auto"/>
                <w:kern w:val="0"/>
                <w:vertAlign w:val="superscript"/>
                <w:lang w:val="en-US" w:eastAsia="zh-CN"/>
              </w:rPr>
              <w:t>3</w:t>
            </w:r>
            <w:r>
              <w:rPr>
                <w:rFonts w:hint="eastAsia"/>
                <w:color w:val="auto"/>
                <w:kern w:val="0"/>
                <w:lang w:val="en-US" w:eastAsia="zh-CN"/>
              </w:rPr>
              <w:t>，</w:t>
            </w:r>
            <w:r>
              <w:rPr>
                <w:color w:val="auto"/>
                <w:kern w:val="0"/>
              </w:rPr>
              <w:t>苯并[a]芘</w:t>
            </w:r>
            <w:r>
              <w:rPr>
                <w:rFonts w:hint="eastAsia"/>
                <w:color w:val="auto"/>
                <w:kern w:val="0"/>
              </w:rPr>
              <w:t>排放</w:t>
            </w:r>
            <w:r>
              <w:rPr>
                <w:color w:val="auto"/>
                <w:kern w:val="0"/>
              </w:rPr>
              <w:t>量为</w:t>
            </w:r>
            <w:r>
              <w:rPr>
                <w:rFonts w:hint="eastAsia"/>
                <w:color w:val="auto"/>
                <w:kern w:val="0"/>
                <w:lang w:val="en-US" w:eastAsia="zh-CN"/>
              </w:rPr>
              <w:t>8.88</w:t>
            </w:r>
            <w:r>
              <w:rPr>
                <w:color w:val="auto"/>
                <w:kern w:val="0"/>
              </w:rPr>
              <w:t>×10</w:t>
            </w:r>
            <w:r>
              <w:rPr>
                <w:rFonts w:hint="eastAsia"/>
                <w:color w:val="auto"/>
                <w:kern w:val="0"/>
                <w:vertAlign w:val="superscript"/>
              </w:rPr>
              <w:t>-6</w:t>
            </w:r>
            <w:r>
              <w:rPr>
                <w:color w:val="auto"/>
                <w:kern w:val="0"/>
              </w:rPr>
              <w:t>t/a，</w:t>
            </w:r>
            <w:r>
              <w:rPr>
                <w:rFonts w:hint="eastAsia"/>
                <w:color w:val="auto"/>
                <w:kern w:val="0"/>
                <w:lang w:val="en-US" w:eastAsia="zh-CN"/>
              </w:rPr>
              <w:t>8.22</w:t>
            </w:r>
            <w:r>
              <w:rPr>
                <w:color w:val="auto"/>
                <w:kern w:val="0"/>
              </w:rPr>
              <w:t>×10</w:t>
            </w:r>
            <w:r>
              <w:rPr>
                <w:color w:val="auto"/>
                <w:kern w:val="0"/>
                <w:vertAlign w:val="superscript"/>
              </w:rPr>
              <w:t>-</w:t>
            </w:r>
            <w:r>
              <w:rPr>
                <w:rFonts w:hint="eastAsia"/>
                <w:color w:val="auto"/>
                <w:kern w:val="0"/>
                <w:vertAlign w:val="superscript"/>
              </w:rPr>
              <w:t>6</w:t>
            </w:r>
            <w:r>
              <w:rPr>
                <w:color w:val="auto"/>
                <w:kern w:val="0"/>
              </w:rPr>
              <w:t>kg/h</w:t>
            </w:r>
            <w:r>
              <w:rPr>
                <w:rFonts w:hint="eastAsia"/>
                <w:color w:val="auto"/>
                <w:kern w:val="0"/>
              </w:rPr>
              <w:t>，排放浓度为</w:t>
            </w:r>
            <w:r>
              <w:rPr>
                <w:rFonts w:hint="eastAsia"/>
                <w:color w:val="auto"/>
                <w:kern w:val="0"/>
                <w:lang w:val="en-US" w:eastAsia="zh-CN"/>
              </w:rPr>
              <w:t>8.22</w:t>
            </w:r>
            <w:r>
              <w:rPr>
                <w:color w:val="auto"/>
                <w:kern w:val="0"/>
              </w:rPr>
              <w:t>×10</w:t>
            </w:r>
            <w:r>
              <w:rPr>
                <w:color w:val="auto"/>
                <w:kern w:val="0"/>
                <w:vertAlign w:val="superscript"/>
              </w:rPr>
              <w:t>-</w:t>
            </w:r>
            <w:r>
              <w:rPr>
                <w:rFonts w:hint="eastAsia"/>
                <w:color w:val="auto"/>
                <w:kern w:val="0"/>
                <w:vertAlign w:val="superscript"/>
                <w:lang w:val="en-US" w:eastAsia="zh-CN"/>
              </w:rPr>
              <w:t>4</w:t>
            </w:r>
            <w:r>
              <w:rPr>
                <w:rFonts w:hint="eastAsia"/>
                <w:color w:val="auto"/>
                <w:kern w:val="0"/>
              </w:rPr>
              <w:t>mg/m</w:t>
            </w:r>
            <w:r>
              <w:rPr>
                <w:rFonts w:hint="eastAsia"/>
                <w:color w:val="auto"/>
                <w:kern w:val="0"/>
                <w:vertAlign w:val="superscript"/>
              </w:rPr>
              <w:t>3</w:t>
            </w:r>
            <w:r>
              <w:rPr>
                <w:rFonts w:hint="eastAsia"/>
                <w:color w:val="auto"/>
                <w:kern w:val="0"/>
              </w:rPr>
              <w:t>。</w:t>
            </w:r>
          </w:p>
          <w:p>
            <w:pPr>
              <w:adjustRightInd w:val="0"/>
              <w:snapToGrid w:val="0"/>
              <w:spacing w:line="360" w:lineRule="auto"/>
              <w:ind w:firstLine="480" w:firstLineChars="200"/>
              <w:rPr>
                <w:color w:val="auto"/>
              </w:rPr>
            </w:pPr>
            <w:r>
              <w:rPr>
                <w:rFonts w:hint="eastAsia" w:ascii="宋体" w:hAnsi="宋体" w:cs="宋体"/>
                <w:color w:val="auto"/>
              </w:rPr>
              <w:t>⑦</w:t>
            </w:r>
            <w:r>
              <w:rPr>
                <w:rFonts w:hint="eastAsia"/>
                <w:color w:val="auto"/>
                <w:lang w:val="en-US" w:eastAsia="zh-CN"/>
              </w:rPr>
              <w:t>矿粉</w:t>
            </w:r>
            <w:r>
              <w:rPr>
                <w:rFonts w:hint="eastAsia"/>
                <w:color w:val="auto"/>
              </w:rPr>
              <w:t>筒仓粉尘</w:t>
            </w:r>
          </w:p>
          <w:p>
            <w:pPr>
              <w:adjustRightInd w:val="0"/>
              <w:snapToGrid w:val="0"/>
              <w:spacing w:line="360" w:lineRule="auto"/>
              <w:ind w:firstLine="480" w:firstLineChars="200"/>
              <w:rPr>
                <w:rFonts w:hint="default" w:eastAsia="宋体"/>
                <w:color w:val="auto"/>
                <w:lang w:val="en-US" w:eastAsia="zh-CN"/>
              </w:rPr>
            </w:pPr>
            <w:r>
              <w:rPr>
                <w:rFonts w:hint="eastAsia"/>
                <w:color w:val="auto"/>
              </w:rPr>
              <w:t>本项目外购矿粉由专用罐车运输进厂，通过罐车自带的管道以负压吸入料斗，再以压缩空气（正压）通过管道吹入粉料筒仓内，该过程会有粉尘产生。本项目设置</w:t>
            </w:r>
            <w:r>
              <w:rPr>
                <w:rFonts w:hint="eastAsia"/>
                <w:color w:val="auto"/>
                <w:lang w:val="en-US" w:eastAsia="zh-CN"/>
              </w:rPr>
              <w:t>1</w:t>
            </w:r>
            <w:r>
              <w:rPr>
                <w:rFonts w:hint="eastAsia"/>
                <w:color w:val="auto"/>
              </w:rPr>
              <w:t>个100t的粉料筒仓，筒仓顶部排气孔将产生粉尘。参照《散逸性工业粉尘控制技术》中混凝土分批加</w:t>
            </w:r>
            <w:r>
              <w:rPr>
                <w:rFonts w:hint="eastAsia"/>
                <w:color w:val="auto"/>
                <w:lang w:eastAsia="zh-CN"/>
              </w:rPr>
              <w:t>拌</w:t>
            </w:r>
            <w:r>
              <w:rPr>
                <w:rFonts w:hint="eastAsia"/>
                <w:color w:val="auto"/>
              </w:rPr>
              <w:t>厂的卸料粉至高架贮仓的排放因子计算，排放因子为0.12kg/t。罐车单车最大运输量按30t/车，每车充装时间为30min，年用量分别为</w:t>
            </w:r>
            <w:r>
              <w:rPr>
                <w:rFonts w:hint="eastAsia"/>
                <w:color w:val="auto"/>
                <w:lang w:val="en-US" w:eastAsia="zh-CN"/>
              </w:rPr>
              <w:t>8028</w:t>
            </w:r>
            <w:r>
              <w:rPr>
                <w:rFonts w:hint="eastAsia"/>
                <w:color w:val="auto"/>
              </w:rPr>
              <w:t>t/a。年充装时间约</w:t>
            </w:r>
            <w:r>
              <w:rPr>
                <w:rFonts w:hint="eastAsia"/>
                <w:color w:val="auto"/>
                <w:lang w:val="en-US" w:eastAsia="zh-CN"/>
              </w:rPr>
              <w:t>133.8</w:t>
            </w:r>
            <w:r>
              <w:rPr>
                <w:rFonts w:hint="eastAsia"/>
                <w:color w:val="auto"/>
              </w:rPr>
              <w:t>h。产生的粉量</w:t>
            </w:r>
            <w:r>
              <w:rPr>
                <w:rFonts w:hint="eastAsia"/>
                <w:color w:val="auto"/>
                <w:lang w:val="en-US" w:eastAsia="zh-CN"/>
              </w:rPr>
              <w:t>0.963</w:t>
            </w:r>
            <w:r>
              <w:rPr>
                <w:rFonts w:hint="eastAsia"/>
                <w:color w:val="auto"/>
              </w:rPr>
              <w:t>t（</w:t>
            </w:r>
            <w:r>
              <w:rPr>
                <w:rFonts w:hint="eastAsia"/>
                <w:color w:val="auto"/>
                <w:lang w:val="en-US" w:eastAsia="zh-CN"/>
              </w:rPr>
              <w:t>7.197</w:t>
            </w:r>
            <w:r>
              <w:rPr>
                <w:rFonts w:hint="eastAsia"/>
                <w:color w:val="auto"/>
              </w:rPr>
              <w:t>kg/h）。筒仓自带布袋除尘+脉冲吹扫（除尘效率99%）处理后经筒仓顶端呼吸口</w:t>
            </w:r>
            <w:r>
              <w:rPr>
                <w:rFonts w:hint="eastAsia"/>
                <w:color w:val="auto"/>
                <w:lang w:val="en-US" w:eastAsia="zh-CN"/>
              </w:rPr>
              <w:t>有组织</w:t>
            </w:r>
            <w:r>
              <w:rPr>
                <w:rFonts w:hint="eastAsia"/>
                <w:color w:val="auto"/>
              </w:rPr>
              <w:t>排放</w:t>
            </w:r>
            <w:r>
              <w:rPr>
                <w:rFonts w:hint="eastAsia"/>
                <w:color w:val="auto"/>
                <w:lang w:eastAsia="zh-CN"/>
              </w:rPr>
              <w:t>，</w:t>
            </w:r>
            <w:r>
              <w:rPr>
                <w:rFonts w:hint="eastAsia"/>
                <w:color w:val="auto"/>
                <w:lang w:val="en-US" w:eastAsia="zh-CN"/>
              </w:rPr>
              <w:t>风机风量为10000</w:t>
            </w:r>
            <w:r>
              <w:rPr>
                <w:rFonts w:hint="eastAsia"/>
                <w:color w:val="auto"/>
                <w:kern w:val="0"/>
              </w:rPr>
              <w:t>m</w:t>
            </w:r>
            <w:r>
              <w:rPr>
                <w:rFonts w:hint="eastAsia"/>
                <w:color w:val="auto"/>
                <w:kern w:val="0"/>
                <w:vertAlign w:val="superscript"/>
              </w:rPr>
              <w:t>3</w:t>
            </w:r>
            <w:r>
              <w:rPr>
                <w:rFonts w:hint="eastAsia"/>
                <w:color w:val="auto"/>
                <w:kern w:val="0"/>
              </w:rPr>
              <w:t>/h。</w:t>
            </w:r>
            <w:r>
              <w:rPr>
                <w:rFonts w:hint="eastAsia"/>
                <w:color w:val="auto"/>
              </w:rPr>
              <w:t>粉料筒仓颗粒物</w:t>
            </w:r>
            <w:r>
              <w:rPr>
                <w:rFonts w:hint="eastAsia"/>
                <w:color w:val="auto"/>
                <w:lang w:val="en-US" w:eastAsia="zh-CN"/>
              </w:rPr>
              <w:t>有</w:t>
            </w:r>
            <w:r>
              <w:rPr>
                <w:rFonts w:hint="eastAsia"/>
                <w:color w:val="auto"/>
              </w:rPr>
              <w:t>组织排放</w:t>
            </w:r>
            <w:r>
              <w:rPr>
                <w:rFonts w:hint="eastAsia"/>
                <w:color w:val="auto"/>
                <w:lang w:val="en-US" w:eastAsia="zh-CN"/>
              </w:rPr>
              <w:t>量</w:t>
            </w:r>
            <w:r>
              <w:rPr>
                <w:rFonts w:hint="eastAsia"/>
                <w:color w:val="auto"/>
              </w:rPr>
              <w:t>为0.0</w:t>
            </w:r>
            <w:r>
              <w:rPr>
                <w:rFonts w:hint="eastAsia"/>
                <w:color w:val="auto"/>
                <w:lang w:val="en-US" w:eastAsia="zh-CN"/>
              </w:rPr>
              <w:t>10</w:t>
            </w:r>
            <w:r>
              <w:rPr>
                <w:rFonts w:hint="eastAsia"/>
                <w:color w:val="auto"/>
              </w:rPr>
              <w:t>t/a</w:t>
            </w:r>
            <w:r>
              <w:rPr>
                <w:rFonts w:hint="eastAsia"/>
                <w:color w:val="auto"/>
                <w:lang w:eastAsia="zh-CN"/>
              </w:rPr>
              <w:t>，</w:t>
            </w:r>
            <w:r>
              <w:rPr>
                <w:rFonts w:hint="eastAsia"/>
                <w:color w:val="auto"/>
              </w:rPr>
              <w:t>排放速率为0.07</w:t>
            </w:r>
            <w:r>
              <w:rPr>
                <w:rFonts w:hint="eastAsia"/>
                <w:color w:val="auto"/>
                <w:lang w:val="en-US" w:eastAsia="zh-CN"/>
              </w:rPr>
              <w:t>2</w:t>
            </w:r>
            <w:r>
              <w:rPr>
                <w:rFonts w:hint="eastAsia"/>
                <w:color w:val="auto"/>
              </w:rPr>
              <w:t>kg/h</w:t>
            </w:r>
            <w:r>
              <w:rPr>
                <w:rFonts w:hint="eastAsia"/>
                <w:color w:val="auto"/>
                <w:lang w:eastAsia="zh-CN"/>
              </w:rPr>
              <w:t>，</w:t>
            </w:r>
            <w:r>
              <w:rPr>
                <w:rFonts w:hint="eastAsia"/>
                <w:color w:val="auto"/>
                <w:lang w:val="en-US" w:eastAsia="zh-CN"/>
              </w:rPr>
              <w:t>排放浓度为7.197mg/m</w:t>
            </w:r>
            <w:r>
              <w:rPr>
                <w:rFonts w:hint="eastAsia"/>
                <w:color w:val="auto"/>
                <w:vertAlign w:val="superscript"/>
                <w:lang w:val="en-US" w:eastAsia="zh-CN"/>
              </w:rPr>
              <w:t>3</w:t>
            </w:r>
            <w:r>
              <w:rPr>
                <w:rFonts w:hint="eastAsia"/>
                <w:color w:val="auto"/>
                <w:lang w:val="en-US" w:eastAsia="zh-CN"/>
              </w:rPr>
              <w:t>。</w:t>
            </w:r>
          </w:p>
          <w:p>
            <w:pPr>
              <w:adjustRightInd w:val="0"/>
              <w:snapToGrid w:val="0"/>
              <w:spacing w:line="360" w:lineRule="auto"/>
              <w:ind w:firstLine="480" w:firstLineChars="200"/>
              <w:rPr>
                <w:rFonts w:hAnsi="宋体"/>
                <w:b/>
                <w:color w:val="auto"/>
              </w:rPr>
            </w:pPr>
            <w:r>
              <w:rPr>
                <w:rFonts w:hint="eastAsia"/>
                <w:color w:val="auto"/>
              </w:rPr>
              <w:t>废气产生及收集情况见下表</w:t>
            </w:r>
          </w:p>
          <w:p>
            <w:pPr>
              <w:adjustRightInd w:val="0"/>
              <w:snapToGrid w:val="0"/>
              <w:jc w:val="center"/>
              <w:rPr>
                <w:color w:val="auto"/>
              </w:rPr>
            </w:pPr>
            <w:r>
              <w:rPr>
                <w:rFonts w:hint="eastAsia" w:hAnsi="宋体"/>
                <w:b/>
                <w:color w:val="auto"/>
              </w:rPr>
              <w:t>表4-3  本项目废气产生及收集情况</w:t>
            </w:r>
          </w:p>
          <w:tbl>
            <w:tblPr>
              <w:tblStyle w:val="30"/>
              <w:tblW w:w="835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423"/>
              <w:gridCol w:w="450"/>
              <w:gridCol w:w="1004"/>
              <w:gridCol w:w="1004"/>
              <w:gridCol w:w="788"/>
              <w:gridCol w:w="536"/>
              <w:gridCol w:w="1004"/>
              <w:gridCol w:w="1004"/>
              <w:gridCol w:w="680"/>
              <w:gridCol w:w="695"/>
              <w:gridCol w:w="7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工序</w:t>
                  </w: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污染物</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产生量</w:t>
                  </w:r>
                </w:p>
                <w:p>
                  <w:pPr>
                    <w:adjustRightInd w:val="0"/>
                    <w:snapToGrid w:val="0"/>
                    <w:jc w:val="center"/>
                    <w:rPr>
                      <w:rFonts w:hAnsi="宋体" w:cs="宋体"/>
                      <w:color w:val="auto"/>
                      <w:sz w:val="21"/>
                      <w:szCs w:val="21"/>
                    </w:rPr>
                  </w:pPr>
                  <w:r>
                    <w:rPr>
                      <w:rFonts w:hint="eastAsia" w:hAnsi="宋体" w:cs="宋体"/>
                      <w:color w:val="auto"/>
                      <w:sz w:val="21"/>
                      <w:szCs w:val="21"/>
                    </w:rPr>
                    <w:t>t/a</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产生速率kg/h</w:t>
                  </w:r>
                </w:p>
              </w:tc>
              <w:tc>
                <w:tcPr>
                  <w:tcW w:w="78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风量</w:t>
                  </w:r>
                </w:p>
                <w:p>
                  <w:pPr>
                    <w:adjustRightInd w:val="0"/>
                    <w:snapToGrid w:val="0"/>
                    <w:jc w:val="center"/>
                    <w:rPr>
                      <w:rFonts w:hAnsi="宋体" w:cs="宋体"/>
                      <w:color w:val="auto"/>
                      <w:sz w:val="21"/>
                      <w:szCs w:val="21"/>
                    </w:rPr>
                  </w:pPr>
                  <w:r>
                    <w:rPr>
                      <w:rFonts w:hint="eastAsia" w:hAnsi="宋体" w:cs="宋体"/>
                      <w:color w:val="auto"/>
                      <w:sz w:val="21"/>
                      <w:szCs w:val="21"/>
                    </w:rPr>
                    <w:t>m</w:t>
                  </w:r>
                  <w:r>
                    <w:rPr>
                      <w:rFonts w:hint="eastAsia" w:hAnsi="宋体" w:cs="宋体"/>
                      <w:color w:val="auto"/>
                      <w:sz w:val="21"/>
                      <w:szCs w:val="21"/>
                      <w:vertAlign w:val="superscript"/>
                    </w:rPr>
                    <w:t>3</w:t>
                  </w:r>
                  <w:r>
                    <w:rPr>
                      <w:rFonts w:hint="eastAsia" w:hAnsi="宋体" w:cs="宋体"/>
                      <w:color w:val="auto"/>
                      <w:sz w:val="21"/>
                      <w:szCs w:val="21"/>
                    </w:rPr>
                    <w:t>/h</w:t>
                  </w: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去除率</w:t>
                  </w:r>
                </w:p>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有组织排放量t/a</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有组织排放速率kg/h</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无组织排放量</w:t>
                  </w:r>
                </w:p>
                <w:p>
                  <w:pPr>
                    <w:adjustRightInd w:val="0"/>
                    <w:snapToGrid w:val="0"/>
                    <w:jc w:val="center"/>
                    <w:rPr>
                      <w:rFonts w:hAnsi="宋体" w:cs="宋体"/>
                      <w:color w:val="auto"/>
                      <w:sz w:val="21"/>
                      <w:szCs w:val="21"/>
                    </w:rPr>
                  </w:pPr>
                  <w:r>
                    <w:rPr>
                      <w:rFonts w:hint="eastAsia" w:hAnsi="宋体" w:cs="宋体"/>
                      <w:color w:val="auto"/>
                      <w:sz w:val="21"/>
                      <w:szCs w:val="21"/>
                    </w:rPr>
                    <w:t>t/a</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无组织排放速率kg/h</w:t>
                  </w:r>
                </w:p>
              </w:tc>
              <w:tc>
                <w:tcPr>
                  <w:tcW w:w="76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运行时间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沥青料仓粉尘</w:t>
                  </w: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0.007</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0.003</w:t>
                  </w:r>
                </w:p>
              </w:tc>
              <w:tc>
                <w:tcPr>
                  <w:tcW w:w="78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536" w:type="dxa"/>
                  <w:tcBorders>
                    <w:tl2br w:val="nil"/>
                    <w:tr2bl w:val="nil"/>
                  </w:tcBorders>
                  <w:vAlign w:val="center"/>
                </w:tcPr>
                <w:p>
                  <w:pPr>
                    <w:adjustRightInd w:val="0"/>
                    <w:snapToGrid w:val="0"/>
                    <w:jc w:val="center"/>
                    <w:rPr>
                      <w:rFonts w:hint="eastAsia" w:hAnsi="宋体" w:eastAsia="宋体" w:cs="宋体"/>
                      <w:color w:val="auto"/>
                      <w:sz w:val="21"/>
                      <w:szCs w:val="21"/>
                      <w:lang w:val="en-US" w:eastAsia="zh-CN"/>
                    </w:rPr>
                  </w:pPr>
                  <w:r>
                    <w:rPr>
                      <w:rFonts w:hint="eastAsia" w:hAnsi="宋体" w:cs="宋体"/>
                      <w:color w:val="auto"/>
                      <w:sz w:val="21"/>
                      <w:szCs w:val="21"/>
                    </w:rPr>
                    <w:t>9</w:t>
                  </w:r>
                  <w:r>
                    <w:rPr>
                      <w:rFonts w:hint="eastAsia" w:hAnsi="宋体" w:cs="宋体"/>
                      <w:color w:val="auto"/>
                      <w:sz w:val="21"/>
                      <w:szCs w:val="21"/>
                      <w:lang w:val="en-US" w:eastAsia="zh-CN"/>
                    </w:rPr>
                    <w:t>0</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80"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0.0007</w:t>
                  </w:r>
                </w:p>
              </w:tc>
              <w:tc>
                <w:tcPr>
                  <w:tcW w:w="695"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0.0003</w:t>
                  </w:r>
                </w:p>
              </w:tc>
              <w:tc>
                <w:tcPr>
                  <w:tcW w:w="76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2160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restart"/>
                  <w:tcBorders>
                    <w:tl2br w:val="nil"/>
                    <w:tr2bl w:val="nil"/>
                  </w:tcBorders>
                  <w:vAlign w:val="center"/>
                </w:tcPr>
                <w:p>
                  <w:pPr>
                    <w:adjustRightInd w:val="0"/>
                    <w:snapToGrid w:val="0"/>
                    <w:jc w:val="center"/>
                    <w:rPr>
                      <w:rFonts w:hint="eastAsia" w:hAnsi="宋体" w:cs="宋体"/>
                      <w:color w:val="auto"/>
                      <w:sz w:val="21"/>
                      <w:szCs w:val="21"/>
                    </w:rPr>
                  </w:pPr>
                  <w:r>
                    <w:rPr>
                      <w:rFonts w:hint="eastAsia" w:hAnsi="宋体" w:cs="宋体"/>
                      <w:color w:val="auto"/>
                      <w:sz w:val="21"/>
                      <w:szCs w:val="21"/>
                    </w:rPr>
                    <w:t>骨料烘干</w:t>
                  </w:r>
                </w:p>
                <w:p>
                  <w:pPr>
                    <w:adjustRightInd w:val="0"/>
                    <w:snapToGrid w:val="0"/>
                    <w:jc w:val="center"/>
                    <w:rPr>
                      <w:rFonts w:hAnsi="宋体" w:cs="宋体"/>
                      <w:color w:val="auto"/>
                      <w:sz w:val="21"/>
                      <w:szCs w:val="21"/>
                    </w:rPr>
                  </w:pPr>
                  <w:r>
                    <w:rPr>
                      <w:rFonts w:hint="eastAsia" w:hAnsi="宋体" w:cs="宋体"/>
                      <w:color w:val="auto"/>
                      <w:sz w:val="21"/>
                      <w:szCs w:val="21"/>
                      <w:lang w:val="en-US" w:eastAsia="zh-CN"/>
                    </w:rPr>
                    <w:t>和</w:t>
                  </w:r>
                  <w:r>
                    <w:rPr>
                      <w:rFonts w:hint="eastAsia" w:hAnsi="宋体" w:cs="宋体"/>
                      <w:color w:val="auto"/>
                      <w:sz w:val="21"/>
                      <w:szCs w:val="21"/>
                    </w:rPr>
                    <w:t>燃烧器燃烧废气</w:t>
                  </w: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35.361</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36.834</w:t>
                  </w:r>
                </w:p>
              </w:tc>
              <w:tc>
                <w:tcPr>
                  <w:tcW w:w="788" w:type="dxa"/>
                  <w:vMerge w:val="restart"/>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10000</w:t>
                  </w: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99</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0.364</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0.368</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二氧化硫</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0.0005</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0.0005</w:t>
                  </w:r>
                </w:p>
              </w:tc>
              <w:tc>
                <w:tcPr>
                  <w:tcW w:w="788"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0.0005</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0.0005</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氮氧化物</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1.944</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1.8</w:t>
                  </w:r>
                </w:p>
              </w:tc>
              <w:tc>
                <w:tcPr>
                  <w:tcW w:w="788"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1.944</w:t>
                  </w:r>
                </w:p>
              </w:tc>
              <w:tc>
                <w:tcPr>
                  <w:tcW w:w="100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1.8</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restart"/>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导热油炉燃烧废气</w:t>
                  </w: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0.058</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0.027</w:t>
                  </w:r>
                </w:p>
              </w:tc>
              <w:tc>
                <w:tcPr>
                  <w:tcW w:w="788" w:type="dxa"/>
                  <w:vMerge w:val="restart"/>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771</w:t>
                  </w: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1004" w:type="dxa"/>
                  <w:tcBorders>
                    <w:tl2br w:val="nil"/>
                    <w:tr2bl w:val="nil"/>
                  </w:tcBorders>
                  <w:shd w:val="clear" w:color="auto" w:fill="auto"/>
                  <w:vAlign w:val="center"/>
                </w:tcPr>
                <w:p>
                  <w:pPr>
                    <w:adjustRightInd w:val="0"/>
                    <w:snapToGrid w:val="0"/>
                    <w:jc w:val="center"/>
                    <w:rPr>
                      <w:rFonts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0.058</w:t>
                  </w:r>
                </w:p>
              </w:tc>
              <w:tc>
                <w:tcPr>
                  <w:tcW w:w="1004" w:type="dxa"/>
                  <w:tcBorders>
                    <w:tl2br w:val="nil"/>
                    <w:tr2bl w:val="nil"/>
                  </w:tcBorders>
                  <w:shd w:val="clear" w:color="auto" w:fill="auto"/>
                  <w:vAlign w:val="center"/>
                </w:tcPr>
                <w:p>
                  <w:pPr>
                    <w:adjustRightInd w:val="0"/>
                    <w:snapToGrid w:val="0"/>
                    <w:jc w:val="center"/>
                    <w:rPr>
                      <w:rFonts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0.027</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2160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二氧化硫</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0.004</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0.002</w:t>
                  </w:r>
                </w:p>
              </w:tc>
              <w:tc>
                <w:tcPr>
                  <w:tcW w:w="788"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0</w:t>
                  </w:r>
                </w:p>
              </w:tc>
              <w:tc>
                <w:tcPr>
                  <w:tcW w:w="1004" w:type="dxa"/>
                  <w:tcBorders>
                    <w:tl2br w:val="nil"/>
                    <w:tr2bl w:val="nil"/>
                  </w:tcBorders>
                  <w:shd w:val="clear" w:color="auto" w:fill="auto"/>
                  <w:vAlign w:val="center"/>
                </w:tcPr>
                <w:p>
                  <w:pPr>
                    <w:adjustRightInd w:val="0"/>
                    <w:snapToGrid w:val="0"/>
                    <w:jc w:val="center"/>
                    <w:rPr>
                      <w:rFonts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0.004</w:t>
                  </w:r>
                </w:p>
              </w:tc>
              <w:tc>
                <w:tcPr>
                  <w:tcW w:w="1004" w:type="dxa"/>
                  <w:tcBorders>
                    <w:tl2br w:val="nil"/>
                    <w:tr2bl w:val="nil"/>
                  </w:tcBorders>
                  <w:shd w:val="clear" w:color="auto" w:fill="auto"/>
                  <w:vAlign w:val="center"/>
                </w:tcPr>
                <w:p>
                  <w:pPr>
                    <w:adjustRightInd w:val="0"/>
                    <w:snapToGrid w:val="0"/>
                    <w:jc w:val="center"/>
                    <w:rPr>
                      <w:rFonts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0.002</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2160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氮氧化物</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0.500</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0.231</w:t>
                  </w:r>
                </w:p>
              </w:tc>
              <w:tc>
                <w:tcPr>
                  <w:tcW w:w="788"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536" w:type="dxa"/>
                  <w:tcBorders>
                    <w:tl2br w:val="nil"/>
                    <w:tr2bl w:val="nil"/>
                  </w:tcBorders>
                  <w:vAlign w:val="center"/>
                </w:tcPr>
                <w:p>
                  <w:pPr>
                    <w:adjustRightInd w:val="0"/>
                    <w:snapToGrid w:val="0"/>
                    <w:jc w:val="center"/>
                    <w:rPr>
                      <w:rFonts w:hint="eastAsia" w:hAnsi="宋体" w:eastAsia="宋体" w:cs="宋体"/>
                      <w:color w:val="auto"/>
                      <w:sz w:val="21"/>
                      <w:szCs w:val="21"/>
                      <w:lang w:eastAsia="zh-CN"/>
                    </w:rPr>
                  </w:pPr>
                  <w:r>
                    <w:rPr>
                      <w:rFonts w:hint="eastAsia" w:hAnsi="宋体" w:cs="宋体"/>
                      <w:color w:val="auto"/>
                      <w:sz w:val="21"/>
                      <w:szCs w:val="21"/>
                    </w:rPr>
                    <w:t>30</w:t>
                  </w:r>
                  <w:r>
                    <w:rPr>
                      <w:rFonts w:hint="eastAsia" w:hAnsi="宋体" w:cs="宋体"/>
                      <w:color w:val="auto"/>
                      <w:sz w:val="21"/>
                      <w:szCs w:val="21"/>
                      <w:lang w:eastAsia="zh-CN"/>
                    </w:rPr>
                    <w:t>（</w:t>
                  </w:r>
                  <w:r>
                    <w:rPr>
                      <w:rFonts w:hint="eastAsia" w:hAnsi="宋体" w:cs="宋体"/>
                      <w:color w:val="auto"/>
                      <w:sz w:val="21"/>
                      <w:szCs w:val="21"/>
                      <w:lang w:val="en-US" w:eastAsia="zh-CN"/>
                    </w:rPr>
                    <w:t>产生环节抑制</w:t>
                  </w:r>
                  <w:r>
                    <w:rPr>
                      <w:rFonts w:hint="eastAsia" w:hAnsi="宋体" w:cs="宋体"/>
                      <w:color w:val="auto"/>
                      <w:sz w:val="21"/>
                      <w:szCs w:val="21"/>
                      <w:lang w:eastAsia="zh-CN"/>
                    </w:rPr>
                    <w:t>）</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0.500</w:t>
                  </w:r>
                </w:p>
              </w:tc>
              <w:tc>
                <w:tcPr>
                  <w:tcW w:w="1004" w:type="dxa"/>
                  <w:tcBorders>
                    <w:tl2br w:val="nil"/>
                    <w:tr2bl w:val="nil"/>
                  </w:tcBorders>
                  <w:shd w:val="clear" w:color="auto" w:fill="auto"/>
                  <w:vAlign w:val="center"/>
                </w:tcPr>
                <w:p>
                  <w:pPr>
                    <w:adjustRightInd w:val="0"/>
                    <w:snapToGrid w:val="0"/>
                    <w:jc w:val="center"/>
                    <w:rPr>
                      <w:rFonts w:hint="default" w:ascii="Times New Roman" w:hAnsi="宋体" w:eastAsia="宋体" w:cs="宋体"/>
                      <w:color w:val="auto"/>
                      <w:kern w:val="2"/>
                      <w:sz w:val="21"/>
                      <w:szCs w:val="21"/>
                      <w:lang w:val="en-US" w:eastAsia="zh-CN" w:bidi="ar-SA"/>
                    </w:rPr>
                  </w:pPr>
                  <w:r>
                    <w:rPr>
                      <w:rFonts w:hint="eastAsia" w:hAnsi="宋体" w:cs="宋体"/>
                      <w:color w:val="auto"/>
                      <w:sz w:val="21"/>
                      <w:szCs w:val="21"/>
                      <w:lang w:val="en-US" w:eastAsia="zh-CN"/>
                    </w:rPr>
                    <w:t>0.231</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2160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restart"/>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沥青烟</w:t>
                  </w: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沥青烟</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5.923</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5.484</w:t>
                  </w:r>
                </w:p>
              </w:tc>
              <w:tc>
                <w:tcPr>
                  <w:tcW w:w="788" w:type="dxa"/>
                  <w:vMerge w:val="restart"/>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1</w:t>
                  </w:r>
                  <w:r>
                    <w:rPr>
                      <w:rFonts w:hint="eastAsia" w:hAnsi="宋体" w:cs="宋体"/>
                      <w:color w:val="auto"/>
                      <w:sz w:val="21"/>
                      <w:szCs w:val="21"/>
                    </w:rPr>
                    <w:t>0000</w:t>
                  </w: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99</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0.059</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0.055</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continue"/>
                  <w:tcBorders>
                    <w:tl2br w:val="nil"/>
                    <w:tr2bl w:val="nil"/>
                  </w:tcBorders>
                  <w:vAlign w:val="center"/>
                </w:tcPr>
                <w:p>
                  <w:pPr>
                    <w:adjustRightInd w:val="0"/>
                    <w:snapToGrid w:val="0"/>
                    <w:jc w:val="center"/>
                    <w:rPr>
                      <w:rFonts w:hint="eastAsia" w:hAnsi="宋体" w:cs="宋体"/>
                      <w:color w:val="auto"/>
                      <w:sz w:val="21"/>
                      <w:szCs w:val="21"/>
                    </w:rPr>
                  </w:pPr>
                </w:p>
              </w:tc>
              <w:tc>
                <w:tcPr>
                  <w:tcW w:w="450" w:type="dxa"/>
                  <w:tcBorders>
                    <w:tl2br w:val="nil"/>
                    <w:tr2bl w:val="nil"/>
                  </w:tcBorders>
                  <w:vAlign w:val="center"/>
                </w:tcPr>
                <w:p>
                  <w:pPr>
                    <w:adjustRightInd w:val="0"/>
                    <w:snapToGrid w:val="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非甲烷总烃</w:t>
                  </w:r>
                </w:p>
              </w:tc>
              <w:tc>
                <w:tcPr>
                  <w:tcW w:w="1004" w:type="dxa"/>
                  <w:tcBorders>
                    <w:tl2br w:val="nil"/>
                    <w:tr2bl w:val="nil"/>
                  </w:tcBorders>
                  <w:vAlign w:val="center"/>
                </w:tcPr>
                <w:p>
                  <w:pPr>
                    <w:adjustRightInd w:val="0"/>
                    <w:snapToGrid w:val="0"/>
                    <w:jc w:val="center"/>
                    <w:rPr>
                      <w:rFonts w:hint="default" w:hAnsi="宋体" w:cs="宋体"/>
                      <w:color w:val="auto"/>
                      <w:sz w:val="21"/>
                      <w:szCs w:val="21"/>
                      <w:lang w:val="en-US" w:eastAsia="zh-CN"/>
                    </w:rPr>
                  </w:pPr>
                  <w:r>
                    <w:rPr>
                      <w:rFonts w:hint="eastAsia" w:hAnsi="宋体" w:cs="宋体"/>
                      <w:color w:val="auto"/>
                      <w:sz w:val="21"/>
                      <w:szCs w:val="21"/>
                      <w:lang w:val="en-US" w:eastAsia="zh-CN"/>
                    </w:rPr>
                    <w:t>0.026</w:t>
                  </w:r>
                </w:p>
              </w:tc>
              <w:tc>
                <w:tcPr>
                  <w:tcW w:w="1004" w:type="dxa"/>
                  <w:tcBorders>
                    <w:tl2br w:val="nil"/>
                    <w:tr2bl w:val="nil"/>
                  </w:tcBorders>
                  <w:vAlign w:val="center"/>
                </w:tcPr>
                <w:p>
                  <w:pPr>
                    <w:adjustRightInd w:val="0"/>
                    <w:snapToGrid w:val="0"/>
                    <w:jc w:val="center"/>
                    <w:rPr>
                      <w:rFonts w:hint="default" w:hAnsi="宋体" w:cs="宋体"/>
                      <w:color w:val="auto"/>
                      <w:sz w:val="21"/>
                      <w:szCs w:val="21"/>
                      <w:lang w:val="en-US" w:eastAsia="zh-CN"/>
                    </w:rPr>
                  </w:pPr>
                  <w:r>
                    <w:rPr>
                      <w:rFonts w:hint="eastAsia" w:hAnsi="宋体" w:cs="宋体"/>
                      <w:color w:val="auto"/>
                      <w:sz w:val="21"/>
                      <w:szCs w:val="21"/>
                      <w:lang w:val="en-US" w:eastAsia="zh-CN"/>
                    </w:rPr>
                    <w:t>0.024</w:t>
                  </w:r>
                </w:p>
              </w:tc>
              <w:tc>
                <w:tcPr>
                  <w:tcW w:w="788" w:type="dxa"/>
                  <w:vMerge w:val="continue"/>
                  <w:tcBorders>
                    <w:tl2br w:val="nil"/>
                    <w:tr2bl w:val="nil"/>
                  </w:tcBorders>
                  <w:vAlign w:val="center"/>
                </w:tcPr>
                <w:p>
                  <w:pPr>
                    <w:adjustRightInd w:val="0"/>
                    <w:snapToGrid w:val="0"/>
                    <w:jc w:val="center"/>
                    <w:rPr>
                      <w:rFonts w:hint="eastAsia" w:hAnsi="宋体" w:cs="宋体"/>
                      <w:color w:val="auto"/>
                      <w:sz w:val="21"/>
                      <w:szCs w:val="21"/>
                    </w:rPr>
                  </w:pPr>
                </w:p>
              </w:tc>
              <w:tc>
                <w:tcPr>
                  <w:tcW w:w="536"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90</w:t>
                  </w:r>
                </w:p>
              </w:tc>
              <w:tc>
                <w:tcPr>
                  <w:tcW w:w="1004" w:type="dxa"/>
                  <w:tcBorders>
                    <w:tl2br w:val="nil"/>
                    <w:tr2bl w:val="nil"/>
                  </w:tcBorders>
                  <w:vAlign w:val="center"/>
                </w:tcPr>
                <w:p>
                  <w:pPr>
                    <w:adjustRightInd w:val="0"/>
                    <w:snapToGrid w:val="0"/>
                    <w:jc w:val="center"/>
                    <w:rPr>
                      <w:rFonts w:hint="default" w:hAnsi="宋体" w:cs="宋体"/>
                      <w:color w:val="auto"/>
                      <w:sz w:val="21"/>
                      <w:szCs w:val="21"/>
                      <w:lang w:val="en-US" w:eastAsia="zh-CN"/>
                    </w:rPr>
                  </w:pPr>
                  <w:r>
                    <w:rPr>
                      <w:rFonts w:hint="eastAsia" w:hAnsi="宋体" w:cs="宋体"/>
                      <w:color w:val="auto"/>
                      <w:sz w:val="21"/>
                      <w:szCs w:val="21"/>
                      <w:lang w:val="en-US" w:eastAsia="zh-CN"/>
                    </w:rPr>
                    <w:t>0.003</w:t>
                  </w:r>
                </w:p>
              </w:tc>
              <w:tc>
                <w:tcPr>
                  <w:tcW w:w="1004" w:type="dxa"/>
                  <w:tcBorders>
                    <w:tl2br w:val="nil"/>
                    <w:tr2bl w:val="nil"/>
                  </w:tcBorders>
                  <w:vAlign w:val="center"/>
                </w:tcPr>
                <w:p>
                  <w:pPr>
                    <w:adjustRightInd w:val="0"/>
                    <w:snapToGrid w:val="0"/>
                    <w:jc w:val="center"/>
                    <w:rPr>
                      <w:rFonts w:hint="default" w:hAnsi="宋体" w:cs="宋体"/>
                      <w:color w:val="auto"/>
                      <w:sz w:val="21"/>
                      <w:szCs w:val="21"/>
                      <w:lang w:val="en-US" w:eastAsia="zh-CN"/>
                    </w:rPr>
                  </w:pPr>
                  <w:r>
                    <w:rPr>
                      <w:rFonts w:hint="eastAsia" w:hAnsi="宋体" w:cs="宋体"/>
                      <w:color w:val="auto"/>
                      <w:sz w:val="21"/>
                      <w:szCs w:val="21"/>
                      <w:lang w:val="en-US" w:eastAsia="zh-CN"/>
                    </w:rPr>
                    <w:t>0.002</w:t>
                  </w:r>
                </w:p>
              </w:tc>
              <w:tc>
                <w:tcPr>
                  <w:tcW w:w="680" w:type="dxa"/>
                  <w:tcBorders>
                    <w:tl2br w:val="nil"/>
                    <w:tr2bl w:val="nil"/>
                  </w:tcBorders>
                  <w:vAlign w:val="center"/>
                </w:tcPr>
                <w:p>
                  <w:pPr>
                    <w:adjustRightInd w:val="0"/>
                    <w:snapToGrid w:val="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w:t>
                  </w:r>
                </w:p>
              </w:tc>
              <w:tc>
                <w:tcPr>
                  <w:tcW w:w="695" w:type="dxa"/>
                  <w:tcBorders>
                    <w:tl2br w:val="nil"/>
                    <w:tr2bl w:val="nil"/>
                  </w:tcBorders>
                  <w:vAlign w:val="center"/>
                </w:tcPr>
                <w:p>
                  <w:pPr>
                    <w:adjustRightInd w:val="0"/>
                    <w:snapToGrid w:val="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w:t>
                  </w:r>
                </w:p>
              </w:tc>
              <w:tc>
                <w:tcPr>
                  <w:tcW w:w="768" w:type="dxa"/>
                  <w:tcBorders>
                    <w:tl2br w:val="nil"/>
                    <w:tr2bl w:val="nil"/>
                  </w:tcBorders>
                  <w:vAlign w:val="center"/>
                </w:tcPr>
                <w:p>
                  <w:pPr>
                    <w:adjustRightInd w:val="0"/>
                    <w:snapToGrid w:val="0"/>
                    <w:jc w:val="center"/>
                    <w:rPr>
                      <w:rFonts w:hint="default" w:hAnsi="宋体" w:cs="宋体"/>
                      <w:color w:val="auto"/>
                      <w:sz w:val="21"/>
                      <w:szCs w:val="21"/>
                      <w:lang w:val="en-US" w:eastAsia="zh-CN"/>
                    </w:rPr>
                  </w:pPr>
                  <w:r>
                    <w:rPr>
                      <w:rFonts w:hint="eastAsia" w:hAnsi="宋体" w:cs="宋体"/>
                      <w:color w:val="auto"/>
                      <w:sz w:val="21"/>
                      <w:szCs w:val="21"/>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306" w:hRule="atLeast"/>
                <w:jc w:val="center"/>
              </w:trPr>
              <w:tc>
                <w:tcPr>
                  <w:tcW w:w="423"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苯并[a]芘</w:t>
                  </w:r>
                </w:p>
              </w:tc>
              <w:tc>
                <w:tcPr>
                  <w:tcW w:w="1004"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8.88</w:t>
                  </w:r>
                  <w:r>
                    <w:rPr>
                      <w:rFonts w:hint="eastAsia" w:hAnsi="宋体" w:cs="宋体"/>
                      <w:color w:val="auto"/>
                      <w:sz w:val="21"/>
                      <w:szCs w:val="21"/>
                    </w:rPr>
                    <w:t>×10</w:t>
                  </w:r>
                  <w:r>
                    <w:rPr>
                      <w:rFonts w:hint="eastAsia" w:hAnsi="宋体" w:cs="宋体"/>
                      <w:color w:val="auto"/>
                      <w:sz w:val="21"/>
                      <w:szCs w:val="21"/>
                      <w:vertAlign w:val="superscript"/>
                    </w:rPr>
                    <w:t>-5</w:t>
                  </w:r>
                </w:p>
              </w:tc>
              <w:tc>
                <w:tcPr>
                  <w:tcW w:w="1004" w:type="dxa"/>
                  <w:tcBorders>
                    <w:tl2br w:val="nil"/>
                    <w:tr2bl w:val="nil"/>
                  </w:tcBorders>
                  <w:shd w:val="clear" w:color="auto" w:fill="auto"/>
                  <w:vAlign w:val="center"/>
                </w:tcPr>
                <w:p>
                  <w:pPr>
                    <w:adjustRightInd w:val="0"/>
                    <w:snapToGrid w:val="0"/>
                    <w:jc w:val="center"/>
                    <w:rPr>
                      <w:rFonts w:hint="eastAsia" w:hAnsi="宋体" w:eastAsia="宋体" w:cs="宋体"/>
                      <w:color w:val="auto"/>
                      <w:sz w:val="21"/>
                      <w:szCs w:val="21"/>
                      <w:lang w:eastAsia="zh-CN"/>
                    </w:rPr>
                  </w:pPr>
                  <w:r>
                    <w:rPr>
                      <w:rFonts w:hint="eastAsia" w:hAnsi="宋体" w:cs="宋体"/>
                      <w:color w:val="auto"/>
                      <w:sz w:val="21"/>
                      <w:szCs w:val="21"/>
                      <w:lang w:val="en-US" w:eastAsia="zh-CN"/>
                    </w:rPr>
                    <w:t>8.22</w:t>
                  </w:r>
                  <w:r>
                    <w:rPr>
                      <w:rFonts w:hint="eastAsia" w:hAnsi="宋体" w:cs="宋体"/>
                      <w:color w:val="auto"/>
                      <w:sz w:val="21"/>
                      <w:szCs w:val="21"/>
                    </w:rPr>
                    <w:t>×10</w:t>
                  </w:r>
                  <w:r>
                    <w:rPr>
                      <w:rFonts w:hint="eastAsia" w:hAnsi="宋体" w:cs="宋体"/>
                      <w:color w:val="auto"/>
                      <w:sz w:val="21"/>
                      <w:szCs w:val="21"/>
                      <w:vertAlign w:val="superscript"/>
                    </w:rPr>
                    <w:t>-</w:t>
                  </w:r>
                  <w:r>
                    <w:rPr>
                      <w:rFonts w:hint="eastAsia" w:hAnsi="宋体" w:cs="宋体"/>
                      <w:color w:val="auto"/>
                      <w:sz w:val="21"/>
                      <w:szCs w:val="21"/>
                      <w:vertAlign w:val="superscript"/>
                      <w:lang w:val="en-US" w:eastAsia="zh-CN"/>
                    </w:rPr>
                    <w:t>5</w:t>
                  </w:r>
                </w:p>
              </w:tc>
              <w:tc>
                <w:tcPr>
                  <w:tcW w:w="788" w:type="dxa"/>
                  <w:vMerge w:val="continue"/>
                  <w:tcBorders>
                    <w:tl2br w:val="nil"/>
                    <w:tr2bl w:val="nil"/>
                  </w:tcBorders>
                  <w:vAlign w:val="center"/>
                </w:tcPr>
                <w:p>
                  <w:pPr>
                    <w:adjustRightInd w:val="0"/>
                    <w:snapToGrid w:val="0"/>
                    <w:jc w:val="center"/>
                    <w:rPr>
                      <w:rFonts w:hAnsi="宋体" w:cs="宋体"/>
                      <w:color w:val="auto"/>
                      <w:sz w:val="21"/>
                      <w:szCs w:val="21"/>
                    </w:rPr>
                  </w:pP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90</w:t>
                  </w:r>
                </w:p>
              </w:tc>
              <w:tc>
                <w:tcPr>
                  <w:tcW w:w="1004"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8.88</w:t>
                  </w:r>
                  <w:r>
                    <w:rPr>
                      <w:rFonts w:hint="eastAsia" w:hAnsi="宋体" w:cs="宋体"/>
                      <w:color w:val="auto"/>
                      <w:sz w:val="21"/>
                      <w:szCs w:val="21"/>
                    </w:rPr>
                    <w:t>×10</w:t>
                  </w:r>
                  <w:r>
                    <w:rPr>
                      <w:rFonts w:hint="eastAsia" w:hAnsi="宋体" w:cs="宋体"/>
                      <w:color w:val="auto"/>
                      <w:sz w:val="21"/>
                      <w:szCs w:val="21"/>
                      <w:vertAlign w:val="superscript"/>
                    </w:rPr>
                    <w:t>-6</w:t>
                  </w:r>
                </w:p>
              </w:tc>
              <w:tc>
                <w:tcPr>
                  <w:tcW w:w="1004" w:type="dxa"/>
                  <w:tcBorders>
                    <w:tl2br w:val="nil"/>
                    <w:tr2bl w:val="nil"/>
                  </w:tcBorders>
                  <w:shd w:val="clear" w:color="auto" w:fill="auto"/>
                  <w:vAlign w:val="center"/>
                </w:tcPr>
                <w:p>
                  <w:pPr>
                    <w:adjustRightInd w:val="0"/>
                    <w:snapToGrid w:val="0"/>
                    <w:jc w:val="center"/>
                    <w:rPr>
                      <w:rFonts w:hAnsi="宋体" w:cs="宋体"/>
                      <w:color w:val="auto"/>
                      <w:sz w:val="21"/>
                      <w:szCs w:val="21"/>
                    </w:rPr>
                  </w:pPr>
                  <w:r>
                    <w:rPr>
                      <w:rFonts w:hint="eastAsia" w:hAnsi="宋体" w:cs="宋体"/>
                      <w:color w:val="auto"/>
                      <w:sz w:val="21"/>
                      <w:szCs w:val="21"/>
                      <w:lang w:val="en-US" w:eastAsia="zh-CN"/>
                    </w:rPr>
                    <w:t>8.22</w:t>
                  </w:r>
                  <w:r>
                    <w:rPr>
                      <w:rFonts w:hint="eastAsia" w:hAnsi="宋体" w:cs="宋体"/>
                      <w:color w:val="auto"/>
                      <w:sz w:val="21"/>
                      <w:szCs w:val="21"/>
                    </w:rPr>
                    <w:t>×10</w:t>
                  </w:r>
                  <w:r>
                    <w:rPr>
                      <w:rFonts w:hint="eastAsia" w:hAnsi="宋体" w:cs="宋体"/>
                      <w:color w:val="auto"/>
                      <w:sz w:val="21"/>
                      <w:szCs w:val="21"/>
                      <w:vertAlign w:val="superscript"/>
                    </w:rPr>
                    <w:t>-6</w:t>
                  </w:r>
                </w:p>
              </w:tc>
              <w:tc>
                <w:tcPr>
                  <w:tcW w:w="68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695"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w:t>
                  </w:r>
                </w:p>
              </w:tc>
              <w:tc>
                <w:tcPr>
                  <w:tcW w:w="76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547" w:hRule="atLeast"/>
                <w:jc w:val="center"/>
              </w:trPr>
              <w:tc>
                <w:tcPr>
                  <w:tcW w:w="423"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粉料筒仓</w:t>
                  </w:r>
                </w:p>
              </w:tc>
              <w:tc>
                <w:tcPr>
                  <w:tcW w:w="45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颗粒物</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0.963</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7.197</w:t>
                  </w:r>
                </w:p>
              </w:tc>
              <w:tc>
                <w:tcPr>
                  <w:tcW w:w="78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10000</w:t>
                  </w:r>
                </w:p>
              </w:tc>
              <w:tc>
                <w:tcPr>
                  <w:tcW w:w="536"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99</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0.010</w:t>
                  </w:r>
                </w:p>
              </w:tc>
              <w:tc>
                <w:tcPr>
                  <w:tcW w:w="100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0.072</w:t>
                  </w:r>
                </w:p>
              </w:tc>
              <w:tc>
                <w:tcPr>
                  <w:tcW w:w="680" w:type="dxa"/>
                  <w:tcBorders>
                    <w:tl2br w:val="nil"/>
                    <w:tr2bl w:val="nil"/>
                  </w:tcBorders>
                  <w:vAlign w:val="center"/>
                </w:tcPr>
                <w:p>
                  <w:pPr>
                    <w:adjustRightInd w:val="0"/>
                    <w:snapToGrid w:val="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w:t>
                  </w:r>
                </w:p>
              </w:tc>
              <w:tc>
                <w:tcPr>
                  <w:tcW w:w="695" w:type="dxa"/>
                  <w:tcBorders>
                    <w:tl2br w:val="nil"/>
                    <w:tr2bl w:val="nil"/>
                  </w:tcBorders>
                  <w:vAlign w:val="center"/>
                </w:tcPr>
                <w:p>
                  <w:pPr>
                    <w:adjustRightInd w:val="0"/>
                    <w:snapToGrid w:val="0"/>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w:t>
                  </w:r>
                </w:p>
              </w:tc>
              <w:tc>
                <w:tcPr>
                  <w:tcW w:w="768"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133.8</w:t>
                  </w:r>
                </w:p>
              </w:tc>
            </w:tr>
          </w:tbl>
          <w:p>
            <w:pPr>
              <w:adjustRightInd w:val="0"/>
              <w:snapToGrid w:val="0"/>
              <w:spacing w:line="360" w:lineRule="auto"/>
              <w:ind w:firstLine="480" w:firstLineChars="200"/>
              <w:rPr>
                <w:color w:val="auto"/>
              </w:rPr>
            </w:pPr>
            <w:r>
              <w:rPr>
                <w:rFonts w:hint="eastAsia"/>
                <w:color w:val="auto"/>
              </w:rPr>
              <w:t>本项目源强核算结果见下表。</w:t>
            </w:r>
          </w:p>
          <w:p>
            <w:pPr>
              <w:adjustRightInd w:val="0"/>
              <w:snapToGrid w:val="0"/>
              <w:jc w:val="center"/>
              <w:rPr>
                <w:rFonts w:hAnsi="宋体"/>
                <w:b/>
                <w:color w:val="auto"/>
              </w:rPr>
            </w:pPr>
            <w:r>
              <w:rPr>
                <w:rFonts w:hint="eastAsia" w:hAnsi="宋体"/>
                <w:b/>
                <w:color w:val="auto"/>
              </w:rPr>
              <w:t>表4-4  本项目正常工况废气污染源源强核算结果一览表</w:t>
            </w:r>
          </w:p>
          <w:tbl>
            <w:tblPr>
              <w:tblStyle w:val="30"/>
              <w:tblW w:w="844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35"/>
              <w:gridCol w:w="335"/>
              <w:gridCol w:w="335"/>
              <w:gridCol w:w="349"/>
              <w:gridCol w:w="335"/>
              <w:gridCol w:w="514"/>
              <w:gridCol w:w="676"/>
              <w:gridCol w:w="728"/>
              <w:gridCol w:w="728"/>
              <w:gridCol w:w="335"/>
              <w:gridCol w:w="455"/>
              <w:gridCol w:w="335"/>
              <w:gridCol w:w="335"/>
              <w:gridCol w:w="514"/>
              <w:gridCol w:w="676"/>
              <w:gridCol w:w="728"/>
              <w:gridCol w:w="7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restart"/>
                  <w:vAlign w:val="center"/>
                </w:tcPr>
                <w:p>
                  <w:pPr>
                    <w:widowControl/>
                    <w:jc w:val="center"/>
                    <w:textAlignment w:val="center"/>
                    <w:rPr>
                      <w:color w:val="auto"/>
                      <w:kern w:val="21"/>
                      <w:sz w:val="18"/>
                      <w:szCs w:val="18"/>
                    </w:rPr>
                  </w:pPr>
                  <w:r>
                    <w:rPr>
                      <w:color w:val="auto"/>
                      <w:kern w:val="21"/>
                      <w:sz w:val="18"/>
                      <w:szCs w:val="18"/>
                      <w:lang w:bidi="ar"/>
                    </w:rPr>
                    <w:t>生产工序</w:t>
                  </w:r>
                </w:p>
              </w:tc>
              <w:tc>
                <w:tcPr>
                  <w:tcW w:w="335" w:type="dxa"/>
                  <w:vMerge w:val="restart"/>
                  <w:vAlign w:val="center"/>
                </w:tcPr>
                <w:p>
                  <w:pPr>
                    <w:widowControl/>
                    <w:jc w:val="center"/>
                    <w:textAlignment w:val="center"/>
                    <w:rPr>
                      <w:color w:val="auto"/>
                      <w:kern w:val="21"/>
                      <w:sz w:val="18"/>
                      <w:szCs w:val="18"/>
                    </w:rPr>
                  </w:pPr>
                  <w:r>
                    <w:rPr>
                      <w:color w:val="auto"/>
                      <w:kern w:val="21"/>
                      <w:sz w:val="18"/>
                      <w:szCs w:val="18"/>
                      <w:lang w:bidi="ar"/>
                    </w:rPr>
                    <w:t>污染源</w:t>
                  </w:r>
                </w:p>
              </w:tc>
              <w:tc>
                <w:tcPr>
                  <w:tcW w:w="335" w:type="dxa"/>
                  <w:vMerge w:val="restart"/>
                  <w:vAlign w:val="center"/>
                </w:tcPr>
                <w:p>
                  <w:pPr>
                    <w:widowControl/>
                    <w:jc w:val="center"/>
                    <w:textAlignment w:val="center"/>
                    <w:rPr>
                      <w:color w:val="auto"/>
                      <w:kern w:val="21"/>
                      <w:sz w:val="18"/>
                      <w:szCs w:val="18"/>
                    </w:rPr>
                  </w:pPr>
                  <w:r>
                    <w:rPr>
                      <w:color w:val="auto"/>
                      <w:kern w:val="21"/>
                      <w:sz w:val="18"/>
                      <w:szCs w:val="18"/>
                      <w:lang w:bidi="ar"/>
                    </w:rPr>
                    <w:t>排放方式</w:t>
                  </w:r>
                </w:p>
              </w:tc>
              <w:tc>
                <w:tcPr>
                  <w:tcW w:w="349" w:type="dxa"/>
                  <w:vMerge w:val="restart"/>
                  <w:vAlign w:val="center"/>
                </w:tcPr>
                <w:p>
                  <w:pPr>
                    <w:widowControl/>
                    <w:jc w:val="center"/>
                    <w:textAlignment w:val="center"/>
                    <w:rPr>
                      <w:color w:val="auto"/>
                      <w:kern w:val="21"/>
                      <w:sz w:val="18"/>
                      <w:szCs w:val="18"/>
                    </w:rPr>
                  </w:pPr>
                  <w:r>
                    <w:rPr>
                      <w:color w:val="auto"/>
                      <w:kern w:val="21"/>
                      <w:sz w:val="18"/>
                      <w:szCs w:val="18"/>
                      <w:lang w:bidi="ar"/>
                    </w:rPr>
                    <w:t>污染物</w:t>
                  </w:r>
                </w:p>
              </w:tc>
              <w:tc>
                <w:tcPr>
                  <w:tcW w:w="2981" w:type="dxa"/>
                  <w:gridSpan w:val="5"/>
                  <w:vAlign w:val="center"/>
                </w:tcPr>
                <w:p>
                  <w:pPr>
                    <w:widowControl/>
                    <w:jc w:val="center"/>
                    <w:textAlignment w:val="center"/>
                    <w:rPr>
                      <w:color w:val="auto"/>
                      <w:kern w:val="21"/>
                      <w:sz w:val="18"/>
                      <w:szCs w:val="18"/>
                    </w:rPr>
                  </w:pPr>
                  <w:r>
                    <w:rPr>
                      <w:color w:val="auto"/>
                      <w:kern w:val="21"/>
                      <w:sz w:val="18"/>
                      <w:szCs w:val="18"/>
                      <w:lang w:bidi="ar"/>
                    </w:rPr>
                    <w:t>污染物产生</w:t>
                  </w:r>
                </w:p>
              </w:tc>
              <w:tc>
                <w:tcPr>
                  <w:tcW w:w="1125" w:type="dxa"/>
                  <w:gridSpan w:val="3"/>
                  <w:vAlign w:val="center"/>
                </w:tcPr>
                <w:p>
                  <w:pPr>
                    <w:widowControl/>
                    <w:jc w:val="center"/>
                    <w:textAlignment w:val="center"/>
                    <w:rPr>
                      <w:color w:val="auto"/>
                      <w:kern w:val="21"/>
                      <w:sz w:val="18"/>
                      <w:szCs w:val="18"/>
                    </w:rPr>
                  </w:pPr>
                  <w:r>
                    <w:rPr>
                      <w:color w:val="auto"/>
                      <w:kern w:val="21"/>
                      <w:sz w:val="18"/>
                      <w:szCs w:val="18"/>
                      <w:lang w:bidi="ar"/>
                    </w:rPr>
                    <w:t>治理措施</w:t>
                  </w:r>
                </w:p>
              </w:tc>
              <w:tc>
                <w:tcPr>
                  <w:tcW w:w="2982" w:type="dxa"/>
                  <w:gridSpan w:val="5"/>
                  <w:vAlign w:val="center"/>
                </w:tcPr>
                <w:p>
                  <w:pPr>
                    <w:widowControl/>
                    <w:jc w:val="center"/>
                    <w:textAlignment w:val="center"/>
                    <w:rPr>
                      <w:color w:val="auto"/>
                      <w:kern w:val="21"/>
                      <w:sz w:val="18"/>
                      <w:szCs w:val="18"/>
                    </w:rPr>
                  </w:pPr>
                  <w:r>
                    <w:rPr>
                      <w:color w:val="auto"/>
                      <w:kern w:val="21"/>
                      <w:sz w:val="18"/>
                      <w:szCs w:val="18"/>
                      <w:lang w:bidi="ar"/>
                    </w:rPr>
                    <w:t>污染物排放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continue"/>
                  <w:vAlign w:val="center"/>
                </w:tcPr>
                <w:p>
                  <w:pPr>
                    <w:widowControl/>
                    <w:jc w:val="center"/>
                    <w:rPr>
                      <w:color w:val="auto"/>
                      <w:kern w:val="21"/>
                      <w:sz w:val="18"/>
                      <w:szCs w:val="18"/>
                    </w:rPr>
                  </w:pPr>
                </w:p>
              </w:tc>
              <w:tc>
                <w:tcPr>
                  <w:tcW w:w="335" w:type="dxa"/>
                  <w:vMerge w:val="continue"/>
                  <w:vAlign w:val="center"/>
                </w:tcPr>
                <w:p>
                  <w:pPr>
                    <w:widowControl/>
                    <w:jc w:val="center"/>
                    <w:rPr>
                      <w:color w:val="auto"/>
                      <w:kern w:val="21"/>
                      <w:sz w:val="18"/>
                      <w:szCs w:val="18"/>
                    </w:rPr>
                  </w:pPr>
                </w:p>
              </w:tc>
              <w:tc>
                <w:tcPr>
                  <w:tcW w:w="335" w:type="dxa"/>
                  <w:vMerge w:val="continue"/>
                  <w:vAlign w:val="center"/>
                </w:tcPr>
                <w:p>
                  <w:pPr>
                    <w:widowControl/>
                    <w:jc w:val="center"/>
                    <w:rPr>
                      <w:color w:val="auto"/>
                      <w:kern w:val="21"/>
                      <w:sz w:val="18"/>
                      <w:szCs w:val="18"/>
                    </w:rPr>
                  </w:pPr>
                </w:p>
              </w:tc>
              <w:tc>
                <w:tcPr>
                  <w:tcW w:w="349" w:type="dxa"/>
                  <w:vMerge w:val="continue"/>
                  <w:vAlign w:val="center"/>
                </w:tcPr>
                <w:p>
                  <w:pPr>
                    <w:widowControl/>
                    <w:jc w:val="center"/>
                    <w:rPr>
                      <w:color w:val="auto"/>
                      <w:kern w:val="21"/>
                      <w:sz w:val="18"/>
                      <w:szCs w:val="18"/>
                    </w:rPr>
                  </w:pPr>
                </w:p>
              </w:tc>
              <w:tc>
                <w:tcPr>
                  <w:tcW w:w="335" w:type="dxa"/>
                  <w:vAlign w:val="center"/>
                </w:tcPr>
                <w:p>
                  <w:pPr>
                    <w:widowControl/>
                    <w:jc w:val="center"/>
                    <w:textAlignment w:val="center"/>
                    <w:rPr>
                      <w:color w:val="auto"/>
                      <w:kern w:val="21"/>
                      <w:sz w:val="18"/>
                      <w:szCs w:val="18"/>
                    </w:rPr>
                  </w:pPr>
                  <w:r>
                    <w:rPr>
                      <w:color w:val="auto"/>
                      <w:kern w:val="21"/>
                      <w:sz w:val="18"/>
                      <w:szCs w:val="18"/>
                      <w:lang w:bidi="ar"/>
                    </w:rPr>
                    <w:t>核算方法</w:t>
                  </w:r>
                </w:p>
              </w:tc>
              <w:tc>
                <w:tcPr>
                  <w:tcW w:w="514" w:type="dxa"/>
                  <w:vAlign w:val="center"/>
                </w:tcPr>
                <w:p>
                  <w:pPr>
                    <w:widowControl/>
                    <w:jc w:val="center"/>
                    <w:textAlignment w:val="center"/>
                    <w:rPr>
                      <w:color w:val="auto"/>
                      <w:kern w:val="21"/>
                      <w:sz w:val="18"/>
                      <w:szCs w:val="18"/>
                    </w:rPr>
                  </w:pPr>
                  <w:r>
                    <w:rPr>
                      <w:color w:val="auto"/>
                      <w:kern w:val="21"/>
                      <w:sz w:val="18"/>
                      <w:szCs w:val="18"/>
                      <w:lang w:bidi="ar"/>
                    </w:rPr>
                    <w:t>废气量m</w:t>
                  </w:r>
                  <w:r>
                    <w:rPr>
                      <w:color w:val="auto"/>
                      <w:kern w:val="21"/>
                      <w:sz w:val="18"/>
                      <w:szCs w:val="18"/>
                      <w:vertAlign w:val="superscript"/>
                      <w:lang w:bidi="ar"/>
                    </w:rPr>
                    <w:t>3</w:t>
                  </w:r>
                  <w:r>
                    <w:rPr>
                      <w:color w:val="auto"/>
                      <w:kern w:val="21"/>
                      <w:sz w:val="18"/>
                      <w:szCs w:val="18"/>
                      <w:lang w:bidi="ar"/>
                    </w:rPr>
                    <w:t>/h</w:t>
                  </w:r>
                </w:p>
              </w:tc>
              <w:tc>
                <w:tcPr>
                  <w:tcW w:w="676" w:type="dxa"/>
                  <w:vAlign w:val="center"/>
                </w:tcPr>
                <w:p>
                  <w:pPr>
                    <w:widowControl/>
                    <w:jc w:val="center"/>
                    <w:textAlignment w:val="center"/>
                    <w:rPr>
                      <w:color w:val="auto"/>
                      <w:kern w:val="21"/>
                      <w:sz w:val="18"/>
                      <w:szCs w:val="18"/>
                    </w:rPr>
                  </w:pPr>
                  <w:r>
                    <w:rPr>
                      <w:color w:val="auto"/>
                      <w:kern w:val="21"/>
                      <w:sz w:val="18"/>
                      <w:szCs w:val="18"/>
                      <w:lang w:bidi="ar"/>
                    </w:rPr>
                    <w:t>产生浓度mg/m</w:t>
                  </w:r>
                  <w:r>
                    <w:rPr>
                      <w:color w:val="auto"/>
                      <w:kern w:val="21"/>
                      <w:sz w:val="18"/>
                      <w:szCs w:val="18"/>
                      <w:vertAlign w:val="superscript"/>
                      <w:lang w:bidi="ar"/>
                    </w:rPr>
                    <w:t>3</w:t>
                  </w:r>
                </w:p>
              </w:tc>
              <w:tc>
                <w:tcPr>
                  <w:tcW w:w="728" w:type="dxa"/>
                  <w:vAlign w:val="center"/>
                </w:tcPr>
                <w:p>
                  <w:pPr>
                    <w:widowControl/>
                    <w:jc w:val="center"/>
                    <w:textAlignment w:val="center"/>
                    <w:rPr>
                      <w:color w:val="auto"/>
                      <w:kern w:val="21"/>
                      <w:sz w:val="18"/>
                      <w:szCs w:val="18"/>
                    </w:rPr>
                  </w:pPr>
                  <w:r>
                    <w:rPr>
                      <w:color w:val="auto"/>
                      <w:kern w:val="21"/>
                      <w:sz w:val="18"/>
                      <w:szCs w:val="18"/>
                      <w:lang w:bidi="ar"/>
                    </w:rPr>
                    <w:t>产生速率kg/h</w:t>
                  </w:r>
                </w:p>
              </w:tc>
              <w:tc>
                <w:tcPr>
                  <w:tcW w:w="728" w:type="dxa"/>
                  <w:vAlign w:val="center"/>
                </w:tcPr>
                <w:p>
                  <w:pPr>
                    <w:widowControl/>
                    <w:jc w:val="center"/>
                    <w:textAlignment w:val="center"/>
                    <w:rPr>
                      <w:color w:val="auto"/>
                      <w:kern w:val="21"/>
                      <w:sz w:val="18"/>
                      <w:szCs w:val="18"/>
                    </w:rPr>
                  </w:pPr>
                  <w:r>
                    <w:rPr>
                      <w:color w:val="auto"/>
                      <w:kern w:val="21"/>
                      <w:sz w:val="18"/>
                      <w:szCs w:val="18"/>
                      <w:lang w:bidi="ar"/>
                    </w:rPr>
                    <w:t>年产生量t/a</w:t>
                  </w:r>
                </w:p>
              </w:tc>
              <w:tc>
                <w:tcPr>
                  <w:tcW w:w="335" w:type="dxa"/>
                  <w:vAlign w:val="center"/>
                </w:tcPr>
                <w:p>
                  <w:pPr>
                    <w:widowControl/>
                    <w:jc w:val="center"/>
                    <w:textAlignment w:val="center"/>
                    <w:rPr>
                      <w:color w:val="auto"/>
                      <w:kern w:val="21"/>
                      <w:sz w:val="18"/>
                      <w:szCs w:val="18"/>
                    </w:rPr>
                  </w:pPr>
                  <w:r>
                    <w:rPr>
                      <w:color w:val="auto"/>
                      <w:kern w:val="21"/>
                      <w:sz w:val="18"/>
                      <w:szCs w:val="18"/>
                      <w:lang w:bidi="ar"/>
                    </w:rPr>
                    <w:t>工艺</w:t>
                  </w:r>
                </w:p>
              </w:tc>
              <w:tc>
                <w:tcPr>
                  <w:tcW w:w="455" w:type="dxa"/>
                  <w:vAlign w:val="center"/>
                </w:tcPr>
                <w:p>
                  <w:pPr>
                    <w:widowControl/>
                    <w:jc w:val="center"/>
                    <w:textAlignment w:val="center"/>
                    <w:rPr>
                      <w:color w:val="auto"/>
                      <w:kern w:val="21"/>
                      <w:sz w:val="18"/>
                      <w:szCs w:val="18"/>
                    </w:rPr>
                  </w:pPr>
                  <w:r>
                    <w:rPr>
                      <w:color w:val="auto"/>
                      <w:kern w:val="21"/>
                      <w:sz w:val="18"/>
                      <w:szCs w:val="18"/>
                      <w:lang w:bidi="ar"/>
                    </w:rPr>
                    <w:t>效率%</w:t>
                  </w:r>
                </w:p>
              </w:tc>
              <w:tc>
                <w:tcPr>
                  <w:tcW w:w="335" w:type="dxa"/>
                  <w:vAlign w:val="center"/>
                </w:tcPr>
                <w:p>
                  <w:pPr>
                    <w:widowControl/>
                    <w:jc w:val="center"/>
                    <w:textAlignment w:val="center"/>
                    <w:rPr>
                      <w:color w:val="auto"/>
                      <w:kern w:val="21"/>
                      <w:sz w:val="18"/>
                      <w:szCs w:val="18"/>
                    </w:rPr>
                  </w:pPr>
                  <w:r>
                    <w:rPr>
                      <w:color w:val="auto"/>
                      <w:kern w:val="21"/>
                      <w:sz w:val="18"/>
                      <w:szCs w:val="18"/>
                      <w:lang w:bidi="ar"/>
                    </w:rPr>
                    <w:t>是否可行技术</w:t>
                  </w:r>
                </w:p>
              </w:tc>
              <w:tc>
                <w:tcPr>
                  <w:tcW w:w="335" w:type="dxa"/>
                  <w:vAlign w:val="center"/>
                </w:tcPr>
                <w:p>
                  <w:pPr>
                    <w:widowControl/>
                    <w:jc w:val="center"/>
                    <w:textAlignment w:val="center"/>
                    <w:rPr>
                      <w:color w:val="auto"/>
                      <w:kern w:val="21"/>
                      <w:sz w:val="18"/>
                      <w:szCs w:val="18"/>
                    </w:rPr>
                  </w:pPr>
                  <w:r>
                    <w:rPr>
                      <w:color w:val="auto"/>
                      <w:kern w:val="21"/>
                      <w:sz w:val="18"/>
                      <w:szCs w:val="18"/>
                      <w:lang w:bidi="ar"/>
                    </w:rPr>
                    <w:t>核算方法</w:t>
                  </w:r>
                </w:p>
              </w:tc>
              <w:tc>
                <w:tcPr>
                  <w:tcW w:w="514" w:type="dxa"/>
                  <w:vAlign w:val="center"/>
                </w:tcPr>
                <w:p>
                  <w:pPr>
                    <w:widowControl/>
                    <w:jc w:val="center"/>
                    <w:textAlignment w:val="center"/>
                    <w:rPr>
                      <w:color w:val="auto"/>
                      <w:kern w:val="21"/>
                      <w:sz w:val="18"/>
                      <w:szCs w:val="18"/>
                    </w:rPr>
                  </w:pPr>
                  <w:r>
                    <w:rPr>
                      <w:color w:val="auto"/>
                      <w:kern w:val="21"/>
                      <w:sz w:val="18"/>
                      <w:szCs w:val="18"/>
                      <w:lang w:bidi="ar"/>
                    </w:rPr>
                    <w:t>废气量m</w:t>
                  </w:r>
                  <w:r>
                    <w:rPr>
                      <w:color w:val="auto"/>
                      <w:kern w:val="21"/>
                      <w:sz w:val="18"/>
                      <w:szCs w:val="18"/>
                      <w:vertAlign w:val="superscript"/>
                      <w:lang w:bidi="ar"/>
                    </w:rPr>
                    <w:t>3</w:t>
                  </w:r>
                  <w:r>
                    <w:rPr>
                      <w:color w:val="auto"/>
                      <w:kern w:val="21"/>
                      <w:sz w:val="18"/>
                      <w:szCs w:val="18"/>
                      <w:lang w:bidi="ar"/>
                    </w:rPr>
                    <w:t>/h</w:t>
                  </w:r>
                </w:p>
              </w:tc>
              <w:tc>
                <w:tcPr>
                  <w:tcW w:w="676" w:type="dxa"/>
                  <w:vAlign w:val="center"/>
                </w:tcPr>
                <w:p>
                  <w:pPr>
                    <w:widowControl/>
                    <w:jc w:val="center"/>
                    <w:textAlignment w:val="center"/>
                    <w:rPr>
                      <w:color w:val="auto"/>
                      <w:kern w:val="21"/>
                      <w:sz w:val="18"/>
                      <w:szCs w:val="18"/>
                    </w:rPr>
                  </w:pPr>
                  <w:r>
                    <w:rPr>
                      <w:color w:val="auto"/>
                      <w:kern w:val="21"/>
                      <w:sz w:val="18"/>
                      <w:szCs w:val="18"/>
                      <w:lang w:bidi="ar"/>
                    </w:rPr>
                    <w:t>排放浓度mg/m</w:t>
                  </w:r>
                  <w:r>
                    <w:rPr>
                      <w:color w:val="auto"/>
                      <w:kern w:val="21"/>
                      <w:sz w:val="18"/>
                      <w:szCs w:val="18"/>
                      <w:vertAlign w:val="superscript"/>
                      <w:lang w:bidi="ar"/>
                    </w:rPr>
                    <w:t>3</w:t>
                  </w:r>
                </w:p>
              </w:tc>
              <w:tc>
                <w:tcPr>
                  <w:tcW w:w="728" w:type="dxa"/>
                  <w:vAlign w:val="center"/>
                </w:tcPr>
                <w:p>
                  <w:pPr>
                    <w:widowControl/>
                    <w:jc w:val="center"/>
                    <w:textAlignment w:val="center"/>
                    <w:rPr>
                      <w:color w:val="auto"/>
                      <w:kern w:val="21"/>
                      <w:sz w:val="18"/>
                      <w:szCs w:val="18"/>
                    </w:rPr>
                  </w:pPr>
                  <w:r>
                    <w:rPr>
                      <w:color w:val="auto"/>
                      <w:kern w:val="21"/>
                      <w:sz w:val="18"/>
                      <w:szCs w:val="18"/>
                      <w:lang w:bidi="ar"/>
                    </w:rPr>
                    <w:t>排放量kg/h</w:t>
                  </w:r>
                </w:p>
              </w:tc>
              <w:tc>
                <w:tcPr>
                  <w:tcW w:w="729" w:type="dxa"/>
                  <w:vAlign w:val="center"/>
                </w:tcPr>
                <w:p>
                  <w:pPr>
                    <w:widowControl/>
                    <w:jc w:val="center"/>
                    <w:textAlignment w:val="center"/>
                    <w:rPr>
                      <w:color w:val="auto"/>
                      <w:kern w:val="21"/>
                      <w:sz w:val="18"/>
                      <w:szCs w:val="18"/>
                    </w:rPr>
                  </w:pPr>
                  <w:r>
                    <w:rPr>
                      <w:color w:val="auto"/>
                      <w:kern w:val="21"/>
                      <w:sz w:val="18"/>
                      <w:szCs w:val="18"/>
                      <w:lang w:bidi="ar"/>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Align w:val="center"/>
                </w:tcPr>
                <w:p>
                  <w:pPr>
                    <w:pStyle w:val="54"/>
                    <w:rPr>
                      <w:color w:val="auto"/>
                      <w:kern w:val="21"/>
                      <w:sz w:val="18"/>
                      <w:szCs w:val="18"/>
                    </w:rPr>
                  </w:pPr>
                  <w:r>
                    <w:rPr>
                      <w:rFonts w:hint="eastAsia"/>
                      <w:color w:val="auto"/>
                      <w:kern w:val="21"/>
                      <w:sz w:val="18"/>
                      <w:szCs w:val="18"/>
                    </w:rPr>
                    <w:t>料仓</w:t>
                  </w:r>
                </w:p>
              </w:tc>
              <w:tc>
                <w:tcPr>
                  <w:tcW w:w="335" w:type="dxa"/>
                  <w:vAlign w:val="center"/>
                </w:tcPr>
                <w:p>
                  <w:pPr>
                    <w:pStyle w:val="54"/>
                    <w:rPr>
                      <w:color w:val="auto"/>
                      <w:kern w:val="21"/>
                      <w:sz w:val="18"/>
                      <w:szCs w:val="18"/>
                    </w:rPr>
                  </w:pPr>
                  <w:r>
                    <w:rPr>
                      <w:rFonts w:hint="eastAsia"/>
                      <w:color w:val="auto"/>
                      <w:kern w:val="21"/>
                      <w:sz w:val="18"/>
                      <w:szCs w:val="18"/>
                    </w:rPr>
                    <w:t>料仓粉尘</w:t>
                  </w:r>
                </w:p>
              </w:tc>
              <w:tc>
                <w:tcPr>
                  <w:tcW w:w="335" w:type="dxa"/>
                  <w:shd w:val="clear" w:color="auto" w:fill="auto"/>
                  <w:vAlign w:val="center"/>
                </w:tcPr>
                <w:p>
                  <w:pPr>
                    <w:widowControl/>
                    <w:jc w:val="center"/>
                    <w:textAlignment w:val="center"/>
                    <w:rPr>
                      <w:color w:val="auto"/>
                      <w:kern w:val="21"/>
                      <w:sz w:val="18"/>
                      <w:szCs w:val="18"/>
                      <w:lang w:bidi="ar"/>
                    </w:rPr>
                  </w:pPr>
                  <w:r>
                    <w:rPr>
                      <w:color w:val="auto"/>
                      <w:kern w:val="21"/>
                      <w:sz w:val="18"/>
                      <w:szCs w:val="18"/>
                      <w:lang w:bidi="ar"/>
                    </w:rPr>
                    <w:t>无组织</w:t>
                  </w:r>
                </w:p>
              </w:tc>
              <w:tc>
                <w:tcPr>
                  <w:tcW w:w="349" w:type="dxa"/>
                  <w:shd w:val="clear" w:color="auto" w:fill="auto"/>
                  <w:vAlign w:val="center"/>
                </w:tcPr>
                <w:p>
                  <w:pPr>
                    <w:widowControl/>
                    <w:jc w:val="center"/>
                    <w:textAlignment w:val="center"/>
                    <w:rPr>
                      <w:color w:val="auto"/>
                      <w:kern w:val="21"/>
                      <w:sz w:val="18"/>
                      <w:szCs w:val="18"/>
                      <w:lang w:bidi="ar"/>
                    </w:rPr>
                  </w:pPr>
                  <w:r>
                    <w:rPr>
                      <w:color w:val="auto"/>
                      <w:kern w:val="21"/>
                      <w:sz w:val="18"/>
                      <w:szCs w:val="18"/>
                      <w:lang w:bidi="ar"/>
                    </w:rPr>
                    <w:t>颗粒物</w:t>
                  </w:r>
                </w:p>
              </w:tc>
              <w:tc>
                <w:tcPr>
                  <w:tcW w:w="335" w:type="dxa"/>
                  <w:shd w:val="clear" w:color="auto" w:fill="auto"/>
                  <w:vAlign w:val="center"/>
                </w:tcPr>
                <w:p>
                  <w:pPr>
                    <w:widowControl/>
                    <w:jc w:val="center"/>
                    <w:textAlignment w:val="center"/>
                    <w:rPr>
                      <w:color w:val="auto"/>
                      <w:kern w:val="21"/>
                      <w:sz w:val="18"/>
                      <w:szCs w:val="18"/>
                    </w:rPr>
                  </w:pPr>
                  <w:r>
                    <w:rPr>
                      <w:color w:val="auto"/>
                      <w:kern w:val="21"/>
                      <w:sz w:val="18"/>
                      <w:szCs w:val="18"/>
                    </w:rPr>
                    <w:t>系数法</w:t>
                  </w:r>
                </w:p>
              </w:tc>
              <w:tc>
                <w:tcPr>
                  <w:tcW w:w="514"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w:t>
                  </w:r>
                </w:p>
              </w:tc>
              <w:tc>
                <w:tcPr>
                  <w:tcW w:w="676"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0.003</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0.007</w:t>
                  </w:r>
                </w:p>
              </w:tc>
              <w:tc>
                <w:tcPr>
                  <w:tcW w:w="335" w:type="dxa"/>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密闭</w:t>
                  </w:r>
                </w:p>
              </w:tc>
              <w:tc>
                <w:tcPr>
                  <w:tcW w:w="455"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90</w:t>
                  </w:r>
                </w:p>
              </w:tc>
              <w:tc>
                <w:tcPr>
                  <w:tcW w:w="335" w:type="dxa"/>
                  <w:shd w:val="clear" w:color="auto" w:fill="auto"/>
                  <w:vAlign w:val="center"/>
                </w:tcPr>
                <w:p>
                  <w:pPr>
                    <w:widowControl/>
                    <w:jc w:val="center"/>
                    <w:textAlignment w:val="center"/>
                    <w:rPr>
                      <w:color w:val="auto"/>
                      <w:kern w:val="21"/>
                      <w:sz w:val="18"/>
                      <w:szCs w:val="18"/>
                      <w:lang w:bidi="ar"/>
                    </w:rPr>
                  </w:pPr>
                  <w:r>
                    <w:rPr>
                      <w:color w:val="auto"/>
                      <w:kern w:val="21"/>
                      <w:sz w:val="18"/>
                      <w:szCs w:val="18"/>
                      <w:lang w:bidi="ar"/>
                    </w:rPr>
                    <w:t>是</w:t>
                  </w:r>
                </w:p>
              </w:tc>
              <w:tc>
                <w:tcPr>
                  <w:tcW w:w="335" w:type="dxa"/>
                  <w:shd w:val="clear" w:color="auto" w:fill="auto"/>
                  <w:vAlign w:val="center"/>
                </w:tcPr>
                <w:p>
                  <w:pPr>
                    <w:widowControl/>
                    <w:jc w:val="center"/>
                    <w:textAlignment w:val="center"/>
                    <w:rPr>
                      <w:color w:val="auto"/>
                      <w:kern w:val="21"/>
                      <w:sz w:val="18"/>
                      <w:szCs w:val="18"/>
                    </w:rPr>
                  </w:pPr>
                  <w:r>
                    <w:rPr>
                      <w:color w:val="auto"/>
                      <w:kern w:val="21"/>
                      <w:sz w:val="18"/>
                      <w:szCs w:val="18"/>
                    </w:rPr>
                    <w:t>物料衡算</w:t>
                  </w:r>
                </w:p>
              </w:tc>
              <w:tc>
                <w:tcPr>
                  <w:tcW w:w="514"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w:t>
                  </w:r>
                </w:p>
              </w:tc>
              <w:tc>
                <w:tcPr>
                  <w:tcW w:w="676"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0.0003</w:t>
                  </w:r>
                </w:p>
              </w:tc>
              <w:tc>
                <w:tcPr>
                  <w:tcW w:w="729"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3" w:hRule="atLeast"/>
                <w:jc w:val="center"/>
              </w:trPr>
              <w:tc>
                <w:tcPr>
                  <w:tcW w:w="335" w:type="dxa"/>
                  <w:vMerge w:val="restart"/>
                  <w:vAlign w:val="center"/>
                </w:tcPr>
                <w:p>
                  <w:pPr>
                    <w:pStyle w:val="54"/>
                    <w:rPr>
                      <w:rFonts w:hint="default" w:eastAsia="宋体"/>
                      <w:color w:val="auto"/>
                      <w:kern w:val="21"/>
                      <w:sz w:val="18"/>
                      <w:szCs w:val="18"/>
                      <w:lang w:val="en-US" w:eastAsia="zh-CN"/>
                    </w:rPr>
                  </w:pPr>
                  <w:r>
                    <w:rPr>
                      <w:rFonts w:hint="eastAsia"/>
                      <w:color w:val="auto"/>
                      <w:kern w:val="21"/>
                      <w:sz w:val="18"/>
                      <w:szCs w:val="18"/>
                    </w:rPr>
                    <w:t>骨料烘干</w:t>
                  </w:r>
                  <w:r>
                    <w:rPr>
                      <w:rFonts w:hint="eastAsia"/>
                      <w:color w:val="auto"/>
                      <w:kern w:val="21"/>
                      <w:sz w:val="18"/>
                      <w:szCs w:val="18"/>
                      <w:lang w:val="en-US" w:eastAsia="zh-CN"/>
                    </w:rPr>
                    <w:t>及燃烧器燃烧</w:t>
                  </w:r>
                </w:p>
              </w:tc>
              <w:tc>
                <w:tcPr>
                  <w:tcW w:w="335" w:type="dxa"/>
                  <w:vMerge w:val="restart"/>
                  <w:vAlign w:val="center"/>
                </w:tcPr>
                <w:p>
                  <w:pPr>
                    <w:pStyle w:val="54"/>
                    <w:rPr>
                      <w:color w:val="auto"/>
                      <w:kern w:val="21"/>
                      <w:sz w:val="18"/>
                      <w:szCs w:val="18"/>
                    </w:rPr>
                  </w:pPr>
                  <w:r>
                    <w:rPr>
                      <w:rFonts w:hint="eastAsia"/>
                      <w:color w:val="auto"/>
                      <w:kern w:val="21"/>
                      <w:sz w:val="18"/>
                      <w:szCs w:val="18"/>
                    </w:rPr>
                    <w:t>燃烧器燃烧废气</w:t>
                  </w:r>
                </w:p>
              </w:tc>
              <w:tc>
                <w:tcPr>
                  <w:tcW w:w="335" w:type="dxa"/>
                  <w:vMerge w:val="restart"/>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有</w:t>
                  </w:r>
                  <w:r>
                    <w:rPr>
                      <w:rFonts w:hint="eastAsia"/>
                      <w:color w:val="auto"/>
                      <w:kern w:val="21"/>
                      <w:sz w:val="18"/>
                      <w:szCs w:val="18"/>
                      <w:lang w:bidi="ar"/>
                    </w:rPr>
                    <w:t>组织</w:t>
                  </w:r>
                </w:p>
              </w:tc>
              <w:tc>
                <w:tcPr>
                  <w:tcW w:w="349" w:type="dxa"/>
                  <w:shd w:val="clear" w:color="auto" w:fill="auto"/>
                  <w:vAlign w:val="center"/>
                </w:tcPr>
                <w:p>
                  <w:pPr>
                    <w:pStyle w:val="54"/>
                    <w:rPr>
                      <w:color w:val="auto"/>
                      <w:kern w:val="21"/>
                      <w:sz w:val="18"/>
                      <w:szCs w:val="18"/>
                    </w:rPr>
                  </w:pPr>
                  <w:r>
                    <w:rPr>
                      <w:rFonts w:hint="eastAsia"/>
                      <w:color w:val="auto"/>
                      <w:kern w:val="21"/>
                      <w:sz w:val="18"/>
                      <w:szCs w:val="18"/>
                    </w:rPr>
                    <w:t>颗粒物</w:t>
                  </w:r>
                </w:p>
              </w:tc>
              <w:tc>
                <w:tcPr>
                  <w:tcW w:w="335" w:type="dxa"/>
                  <w:shd w:val="clear" w:color="auto" w:fill="auto"/>
                  <w:vAlign w:val="center"/>
                </w:tcPr>
                <w:p>
                  <w:pPr>
                    <w:jc w:val="center"/>
                    <w:rPr>
                      <w:color w:val="auto"/>
                      <w:kern w:val="21"/>
                      <w:sz w:val="18"/>
                      <w:szCs w:val="18"/>
                    </w:rPr>
                  </w:pPr>
                  <w:r>
                    <w:rPr>
                      <w:rFonts w:hint="eastAsia"/>
                      <w:color w:val="auto"/>
                      <w:kern w:val="21"/>
                      <w:sz w:val="18"/>
                      <w:szCs w:val="18"/>
                    </w:rPr>
                    <w:t>物料衡算</w:t>
                  </w:r>
                </w:p>
              </w:tc>
              <w:tc>
                <w:tcPr>
                  <w:tcW w:w="514" w:type="dxa"/>
                  <w:vMerge w:val="restart"/>
                  <w:shd w:val="clear" w:color="auto" w:fill="auto"/>
                  <w:vAlign w:val="center"/>
                </w:tcPr>
                <w:p>
                  <w:pPr>
                    <w:jc w:val="center"/>
                    <w:rPr>
                      <w:rFonts w:hint="default" w:eastAsia="宋体"/>
                      <w:color w:val="auto"/>
                      <w:lang w:val="en-US" w:eastAsia="zh-CN"/>
                    </w:rPr>
                  </w:pPr>
                  <w:r>
                    <w:rPr>
                      <w:rFonts w:hint="eastAsia"/>
                      <w:color w:val="auto"/>
                      <w:kern w:val="21"/>
                      <w:sz w:val="18"/>
                      <w:szCs w:val="18"/>
                      <w:lang w:val="en-US" w:eastAsia="zh-CN" w:bidi="ar"/>
                    </w:rPr>
                    <w:t>10000</w:t>
                  </w: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3683.4</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36.834</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35.361</w:t>
                  </w:r>
                </w:p>
              </w:tc>
              <w:tc>
                <w:tcPr>
                  <w:tcW w:w="335" w:type="dxa"/>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w:t>
                  </w:r>
                </w:p>
              </w:tc>
              <w:tc>
                <w:tcPr>
                  <w:tcW w:w="455" w:type="dxa"/>
                  <w:shd w:val="clear" w:color="auto" w:fill="auto"/>
                  <w:vAlign w:val="center"/>
                </w:tcPr>
                <w:p>
                  <w:pPr>
                    <w:widowControl/>
                    <w:jc w:val="center"/>
                    <w:textAlignment w:val="center"/>
                    <w:rPr>
                      <w:rFonts w:hint="eastAsia" w:eastAsia="宋体"/>
                      <w:color w:val="auto"/>
                      <w:kern w:val="21"/>
                      <w:sz w:val="18"/>
                      <w:szCs w:val="18"/>
                      <w:lang w:eastAsia="zh-CN" w:bidi="ar"/>
                    </w:rPr>
                  </w:pPr>
                  <w:r>
                    <w:rPr>
                      <w:rFonts w:hint="eastAsia"/>
                      <w:color w:val="auto"/>
                      <w:kern w:val="21"/>
                      <w:sz w:val="18"/>
                      <w:szCs w:val="18"/>
                      <w:lang w:bidi="ar"/>
                    </w:rPr>
                    <w:t>9</w:t>
                  </w:r>
                  <w:r>
                    <w:rPr>
                      <w:rFonts w:hint="eastAsia"/>
                      <w:color w:val="auto"/>
                      <w:kern w:val="21"/>
                      <w:sz w:val="18"/>
                      <w:szCs w:val="18"/>
                      <w:lang w:val="en-US" w:eastAsia="zh-CN" w:bidi="ar"/>
                    </w:rPr>
                    <w:t>9</w:t>
                  </w:r>
                </w:p>
              </w:tc>
              <w:tc>
                <w:tcPr>
                  <w:tcW w:w="335" w:type="dxa"/>
                  <w:shd w:val="clear" w:color="auto" w:fill="auto"/>
                  <w:vAlign w:val="center"/>
                </w:tcPr>
                <w:p>
                  <w:pPr>
                    <w:widowControl/>
                    <w:jc w:val="center"/>
                    <w:textAlignment w:val="center"/>
                    <w:rPr>
                      <w:b/>
                      <w:bCs/>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restart"/>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10000</w:t>
                  </w:r>
                </w:p>
              </w:tc>
              <w:tc>
                <w:tcPr>
                  <w:tcW w:w="676" w:type="dxa"/>
                  <w:shd w:val="clear" w:color="auto" w:fill="auto"/>
                  <w:vAlign w:val="center"/>
                </w:tcPr>
                <w:p>
                  <w:pPr>
                    <w:widowControl/>
                    <w:jc w:val="center"/>
                    <w:textAlignment w:val="center"/>
                    <w:rPr>
                      <w:rFonts w:hint="default" w:ascii="Times New Roman" w:hAnsi="Times New Roman" w:eastAsia="宋体" w:cs="Times New Roman"/>
                      <w:color w:val="auto"/>
                      <w:kern w:val="21"/>
                      <w:sz w:val="18"/>
                      <w:szCs w:val="18"/>
                      <w:lang w:val="en-US" w:eastAsia="zh-CN" w:bidi="ar"/>
                    </w:rPr>
                  </w:pPr>
                  <w:r>
                    <w:rPr>
                      <w:rFonts w:hint="eastAsia" w:ascii="Times New Roman" w:hAnsi="Times New Roman" w:eastAsia="宋体" w:cs="Times New Roman"/>
                      <w:color w:val="auto"/>
                      <w:kern w:val="21"/>
                      <w:sz w:val="18"/>
                      <w:szCs w:val="18"/>
                      <w:lang w:val="en-US" w:eastAsia="zh-CN" w:bidi="ar"/>
                    </w:rPr>
                    <w:t>36.83</w:t>
                  </w:r>
                </w:p>
              </w:tc>
              <w:tc>
                <w:tcPr>
                  <w:tcW w:w="728" w:type="dxa"/>
                  <w:shd w:val="clear" w:color="auto" w:fill="auto"/>
                  <w:vAlign w:val="center"/>
                </w:tcPr>
                <w:p>
                  <w:pPr>
                    <w:widowControl/>
                    <w:jc w:val="center"/>
                    <w:textAlignment w:val="center"/>
                    <w:rPr>
                      <w:rFonts w:hint="default" w:ascii="Times New Roman" w:hAnsi="Times New Roman" w:eastAsia="宋体" w:cs="Times New Roman"/>
                      <w:color w:val="auto"/>
                      <w:kern w:val="21"/>
                      <w:sz w:val="18"/>
                      <w:szCs w:val="18"/>
                      <w:lang w:val="en-US" w:eastAsia="zh-CN" w:bidi="ar"/>
                    </w:rPr>
                  </w:pPr>
                  <w:r>
                    <w:rPr>
                      <w:rFonts w:hint="eastAsia" w:ascii="Times New Roman" w:hAnsi="Times New Roman" w:eastAsia="宋体" w:cs="Times New Roman"/>
                      <w:color w:val="auto"/>
                      <w:kern w:val="21"/>
                      <w:sz w:val="18"/>
                      <w:szCs w:val="18"/>
                      <w:lang w:val="en-US" w:eastAsia="zh-CN" w:bidi="ar"/>
                    </w:rPr>
                    <w:t>0.368</w:t>
                  </w:r>
                </w:p>
              </w:tc>
              <w:tc>
                <w:tcPr>
                  <w:tcW w:w="729" w:type="dxa"/>
                  <w:shd w:val="clear" w:color="auto" w:fill="auto"/>
                  <w:vAlign w:val="center"/>
                </w:tcPr>
                <w:p>
                  <w:pPr>
                    <w:widowControl/>
                    <w:jc w:val="center"/>
                    <w:textAlignment w:val="center"/>
                    <w:rPr>
                      <w:rFonts w:hint="default" w:ascii="Times New Roman" w:hAnsi="Times New Roman" w:eastAsia="宋体" w:cs="Times New Roman"/>
                      <w:color w:val="auto"/>
                      <w:kern w:val="21"/>
                      <w:sz w:val="18"/>
                      <w:szCs w:val="18"/>
                      <w:lang w:val="en-US" w:eastAsia="zh-CN" w:bidi="ar"/>
                    </w:rPr>
                  </w:pPr>
                  <w:r>
                    <w:rPr>
                      <w:rFonts w:hint="eastAsia" w:ascii="Times New Roman" w:hAnsi="Times New Roman" w:eastAsia="宋体" w:cs="Times New Roman"/>
                      <w:color w:val="auto"/>
                      <w:kern w:val="21"/>
                      <w:sz w:val="18"/>
                      <w:szCs w:val="18"/>
                      <w:lang w:val="en-US" w:eastAsia="zh-CN" w:bidi="ar"/>
                    </w:rPr>
                    <w:t>0.364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continue"/>
                  <w:vAlign w:val="center"/>
                </w:tcPr>
                <w:p>
                  <w:pPr>
                    <w:pStyle w:val="54"/>
                    <w:rPr>
                      <w:color w:val="auto"/>
                      <w:kern w:val="21"/>
                      <w:sz w:val="18"/>
                      <w:szCs w:val="18"/>
                    </w:rPr>
                  </w:pPr>
                </w:p>
              </w:tc>
              <w:tc>
                <w:tcPr>
                  <w:tcW w:w="335" w:type="dxa"/>
                  <w:vMerge w:val="continue"/>
                  <w:vAlign w:val="center"/>
                </w:tcPr>
                <w:p>
                  <w:pPr>
                    <w:pStyle w:val="54"/>
                    <w:rPr>
                      <w:color w:val="auto"/>
                      <w:kern w:val="21"/>
                      <w:sz w:val="18"/>
                      <w:szCs w:val="18"/>
                    </w:rPr>
                  </w:pPr>
                </w:p>
              </w:tc>
              <w:tc>
                <w:tcPr>
                  <w:tcW w:w="335" w:type="dxa"/>
                  <w:vMerge w:val="continue"/>
                  <w:shd w:val="clear" w:color="auto" w:fill="auto"/>
                  <w:vAlign w:val="center"/>
                </w:tcPr>
                <w:p>
                  <w:pPr>
                    <w:widowControl/>
                    <w:jc w:val="center"/>
                    <w:textAlignment w:val="center"/>
                    <w:rPr>
                      <w:color w:val="auto"/>
                      <w:kern w:val="21"/>
                      <w:sz w:val="18"/>
                      <w:szCs w:val="18"/>
                      <w:lang w:bidi="ar"/>
                    </w:rPr>
                  </w:pPr>
                </w:p>
              </w:tc>
              <w:tc>
                <w:tcPr>
                  <w:tcW w:w="349" w:type="dxa"/>
                  <w:shd w:val="clear" w:color="auto" w:fill="auto"/>
                  <w:vAlign w:val="center"/>
                </w:tcPr>
                <w:p>
                  <w:pPr>
                    <w:pStyle w:val="54"/>
                    <w:rPr>
                      <w:color w:val="auto"/>
                      <w:kern w:val="21"/>
                      <w:sz w:val="18"/>
                      <w:szCs w:val="18"/>
                    </w:rPr>
                  </w:pPr>
                  <w:r>
                    <w:rPr>
                      <w:rFonts w:hint="eastAsia"/>
                      <w:color w:val="auto"/>
                      <w:kern w:val="21"/>
                      <w:sz w:val="18"/>
                      <w:szCs w:val="18"/>
                    </w:rPr>
                    <w:t>二氧化硫</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0.5</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0.0005</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0.0005</w:t>
                  </w:r>
                </w:p>
              </w:tc>
              <w:tc>
                <w:tcPr>
                  <w:tcW w:w="335" w:type="dxa"/>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w:t>
                  </w:r>
                </w:p>
              </w:tc>
              <w:tc>
                <w:tcPr>
                  <w:tcW w:w="45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0</w:t>
                  </w:r>
                </w:p>
              </w:tc>
              <w:tc>
                <w:tcPr>
                  <w:tcW w:w="335" w:type="dxa"/>
                  <w:shd w:val="clear" w:color="auto" w:fill="auto"/>
                  <w:vAlign w:val="center"/>
                </w:tcPr>
                <w:p>
                  <w:pPr>
                    <w:widowControl/>
                    <w:jc w:val="center"/>
                    <w:textAlignment w:val="center"/>
                    <w:rPr>
                      <w:b/>
                      <w:bCs/>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0.5</w:t>
                  </w:r>
                </w:p>
              </w:tc>
              <w:tc>
                <w:tcPr>
                  <w:tcW w:w="728"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0.0005</w:t>
                  </w:r>
                </w:p>
              </w:tc>
              <w:tc>
                <w:tcPr>
                  <w:tcW w:w="729"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0.0005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continue"/>
                  <w:vAlign w:val="center"/>
                </w:tcPr>
                <w:p>
                  <w:pPr>
                    <w:pStyle w:val="54"/>
                    <w:rPr>
                      <w:color w:val="auto"/>
                      <w:kern w:val="21"/>
                      <w:sz w:val="18"/>
                      <w:szCs w:val="18"/>
                    </w:rPr>
                  </w:pPr>
                </w:p>
              </w:tc>
              <w:tc>
                <w:tcPr>
                  <w:tcW w:w="335" w:type="dxa"/>
                  <w:vMerge w:val="continue"/>
                  <w:vAlign w:val="center"/>
                </w:tcPr>
                <w:p>
                  <w:pPr>
                    <w:pStyle w:val="54"/>
                    <w:rPr>
                      <w:color w:val="auto"/>
                      <w:kern w:val="21"/>
                      <w:sz w:val="18"/>
                      <w:szCs w:val="18"/>
                    </w:rPr>
                  </w:pPr>
                </w:p>
              </w:tc>
              <w:tc>
                <w:tcPr>
                  <w:tcW w:w="335" w:type="dxa"/>
                  <w:vMerge w:val="continue"/>
                  <w:shd w:val="clear" w:color="auto" w:fill="auto"/>
                  <w:vAlign w:val="center"/>
                </w:tcPr>
                <w:p>
                  <w:pPr>
                    <w:widowControl/>
                    <w:jc w:val="center"/>
                    <w:textAlignment w:val="center"/>
                    <w:rPr>
                      <w:color w:val="auto"/>
                      <w:kern w:val="21"/>
                      <w:sz w:val="18"/>
                      <w:szCs w:val="18"/>
                      <w:lang w:bidi="ar"/>
                    </w:rPr>
                  </w:pPr>
                </w:p>
              </w:tc>
              <w:tc>
                <w:tcPr>
                  <w:tcW w:w="349" w:type="dxa"/>
                  <w:shd w:val="clear" w:color="auto" w:fill="auto"/>
                  <w:vAlign w:val="center"/>
                </w:tcPr>
                <w:p>
                  <w:pPr>
                    <w:pStyle w:val="54"/>
                    <w:rPr>
                      <w:color w:val="auto"/>
                      <w:kern w:val="21"/>
                      <w:sz w:val="18"/>
                      <w:szCs w:val="18"/>
                    </w:rPr>
                  </w:pPr>
                  <w:r>
                    <w:rPr>
                      <w:rFonts w:hint="eastAsia"/>
                      <w:color w:val="auto"/>
                      <w:kern w:val="21"/>
                      <w:sz w:val="18"/>
                      <w:szCs w:val="18"/>
                    </w:rPr>
                    <w:t>氮氧化物</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180</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1.8</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1.944</w:t>
                  </w:r>
                </w:p>
              </w:tc>
              <w:tc>
                <w:tcPr>
                  <w:tcW w:w="335" w:type="dxa"/>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w:t>
                  </w:r>
                </w:p>
              </w:tc>
              <w:tc>
                <w:tcPr>
                  <w:tcW w:w="45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0</w:t>
                  </w:r>
                </w:p>
              </w:tc>
              <w:tc>
                <w:tcPr>
                  <w:tcW w:w="335" w:type="dxa"/>
                  <w:shd w:val="clear" w:color="auto" w:fill="auto"/>
                  <w:vAlign w:val="center"/>
                </w:tcPr>
                <w:p>
                  <w:pPr>
                    <w:widowControl/>
                    <w:jc w:val="center"/>
                    <w:textAlignment w:val="center"/>
                    <w:rPr>
                      <w:b/>
                      <w:bCs/>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180</w:t>
                  </w:r>
                </w:p>
              </w:tc>
              <w:tc>
                <w:tcPr>
                  <w:tcW w:w="728"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1.8</w:t>
                  </w:r>
                </w:p>
              </w:tc>
              <w:tc>
                <w:tcPr>
                  <w:tcW w:w="729"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1.944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restart"/>
                  <w:vAlign w:val="center"/>
                </w:tcPr>
                <w:p>
                  <w:pPr>
                    <w:pStyle w:val="54"/>
                    <w:rPr>
                      <w:color w:val="auto"/>
                      <w:kern w:val="21"/>
                      <w:sz w:val="18"/>
                      <w:szCs w:val="18"/>
                    </w:rPr>
                  </w:pPr>
                  <w:r>
                    <w:rPr>
                      <w:rFonts w:hint="eastAsia"/>
                      <w:color w:val="auto"/>
                      <w:kern w:val="21"/>
                      <w:sz w:val="18"/>
                      <w:szCs w:val="18"/>
                    </w:rPr>
                    <w:t>导热油炉</w:t>
                  </w:r>
                </w:p>
              </w:tc>
              <w:tc>
                <w:tcPr>
                  <w:tcW w:w="335" w:type="dxa"/>
                  <w:vMerge w:val="restart"/>
                  <w:vAlign w:val="center"/>
                </w:tcPr>
                <w:p>
                  <w:pPr>
                    <w:pStyle w:val="54"/>
                    <w:rPr>
                      <w:color w:val="auto"/>
                      <w:kern w:val="21"/>
                      <w:sz w:val="18"/>
                      <w:szCs w:val="18"/>
                    </w:rPr>
                  </w:pPr>
                  <w:r>
                    <w:rPr>
                      <w:rFonts w:hint="eastAsia"/>
                      <w:color w:val="auto"/>
                      <w:kern w:val="21"/>
                      <w:sz w:val="18"/>
                      <w:szCs w:val="18"/>
                    </w:rPr>
                    <w:t>导热油炉燃烧废气</w:t>
                  </w:r>
                </w:p>
              </w:tc>
              <w:tc>
                <w:tcPr>
                  <w:tcW w:w="335" w:type="dxa"/>
                  <w:vMerge w:val="restart"/>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有组织</w:t>
                  </w:r>
                </w:p>
              </w:tc>
              <w:tc>
                <w:tcPr>
                  <w:tcW w:w="349" w:type="dxa"/>
                  <w:shd w:val="clear" w:color="auto" w:fill="auto"/>
                  <w:vAlign w:val="center"/>
                </w:tcPr>
                <w:p>
                  <w:pPr>
                    <w:pStyle w:val="54"/>
                    <w:rPr>
                      <w:color w:val="auto"/>
                      <w:kern w:val="21"/>
                      <w:sz w:val="18"/>
                      <w:szCs w:val="18"/>
                    </w:rPr>
                  </w:pPr>
                  <w:r>
                    <w:rPr>
                      <w:rFonts w:hint="eastAsia"/>
                      <w:color w:val="auto"/>
                      <w:kern w:val="21"/>
                      <w:sz w:val="18"/>
                      <w:szCs w:val="18"/>
                    </w:rPr>
                    <w:t>颗粒物</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vMerge w:val="restart"/>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1836</w:t>
                  </w: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14.60</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0.027</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0.058</w:t>
                  </w:r>
                </w:p>
              </w:tc>
              <w:tc>
                <w:tcPr>
                  <w:tcW w:w="335" w:type="dxa"/>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w:t>
                  </w:r>
                </w:p>
              </w:tc>
              <w:tc>
                <w:tcPr>
                  <w:tcW w:w="45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0</w:t>
                  </w:r>
                </w:p>
              </w:tc>
              <w:tc>
                <w:tcPr>
                  <w:tcW w:w="33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restart"/>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1836</w:t>
                  </w:r>
                </w:p>
              </w:tc>
              <w:tc>
                <w:tcPr>
                  <w:tcW w:w="676"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14.60</w:t>
                  </w:r>
                </w:p>
              </w:tc>
              <w:tc>
                <w:tcPr>
                  <w:tcW w:w="728"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0.027</w:t>
                  </w:r>
                </w:p>
              </w:tc>
              <w:tc>
                <w:tcPr>
                  <w:tcW w:w="729"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0.058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continue"/>
                  <w:vAlign w:val="center"/>
                </w:tcPr>
                <w:p>
                  <w:pPr>
                    <w:pStyle w:val="54"/>
                    <w:rPr>
                      <w:color w:val="auto"/>
                      <w:kern w:val="21"/>
                      <w:sz w:val="18"/>
                      <w:szCs w:val="18"/>
                    </w:rPr>
                  </w:pPr>
                </w:p>
              </w:tc>
              <w:tc>
                <w:tcPr>
                  <w:tcW w:w="335" w:type="dxa"/>
                  <w:vMerge w:val="continue"/>
                  <w:vAlign w:val="center"/>
                </w:tcPr>
                <w:p>
                  <w:pPr>
                    <w:pStyle w:val="54"/>
                    <w:rPr>
                      <w:color w:val="auto"/>
                      <w:kern w:val="21"/>
                      <w:sz w:val="18"/>
                      <w:szCs w:val="18"/>
                    </w:rPr>
                  </w:pPr>
                </w:p>
              </w:tc>
              <w:tc>
                <w:tcPr>
                  <w:tcW w:w="335" w:type="dxa"/>
                  <w:vMerge w:val="continue"/>
                  <w:shd w:val="clear" w:color="auto" w:fill="auto"/>
                  <w:vAlign w:val="center"/>
                </w:tcPr>
                <w:p>
                  <w:pPr>
                    <w:widowControl/>
                    <w:jc w:val="center"/>
                    <w:textAlignment w:val="center"/>
                    <w:rPr>
                      <w:color w:val="auto"/>
                      <w:kern w:val="21"/>
                      <w:sz w:val="18"/>
                      <w:szCs w:val="18"/>
                      <w:lang w:bidi="ar"/>
                    </w:rPr>
                  </w:pPr>
                </w:p>
              </w:tc>
              <w:tc>
                <w:tcPr>
                  <w:tcW w:w="349" w:type="dxa"/>
                  <w:shd w:val="clear" w:color="auto" w:fill="auto"/>
                  <w:vAlign w:val="center"/>
                </w:tcPr>
                <w:p>
                  <w:pPr>
                    <w:pStyle w:val="54"/>
                    <w:rPr>
                      <w:color w:val="auto"/>
                      <w:kern w:val="21"/>
                      <w:sz w:val="18"/>
                      <w:szCs w:val="18"/>
                    </w:rPr>
                  </w:pPr>
                  <w:r>
                    <w:rPr>
                      <w:rFonts w:hint="eastAsia"/>
                      <w:color w:val="auto"/>
                      <w:kern w:val="21"/>
                      <w:sz w:val="18"/>
                      <w:szCs w:val="18"/>
                    </w:rPr>
                    <w:t>二氧化硫</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1.011</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0.002</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0.004</w:t>
                  </w:r>
                </w:p>
              </w:tc>
              <w:tc>
                <w:tcPr>
                  <w:tcW w:w="335" w:type="dxa"/>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w:t>
                  </w:r>
                </w:p>
              </w:tc>
              <w:tc>
                <w:tcPr>
                  <w:tcW w:w="45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0</w:t>
                  </w:r>
                </w:p>
              </w:tc>
              <w:tc>
                <w:tcPr>
                  <w:tcW w:w="33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1.011</w:t>
                  </w:r>
                </w:p>
              </w:tc>
              <w:tc>
                <w:tcPr>
                  <w:tcW w:w="728"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0.002</w:t>
                  </w:r>
                </w:p>
              </w:tc>
              <w:tc>
                <w:tcPr>
                  <w:tcW w:w="729"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continue"/>
                  <w:vAlign w:val="center"/>
                </w:tcPr>
                <w:p>
                  <w:pPr>
                    <w:pStyle w:val="54"/>
                    <w:rPr>
                      <w:color w:val="auto"/>
                      <w:kern w:val="21"/>
                      <w:sz w:val="18"/>
                      <w:szCs w:val="18"/>
                    </w:rPr>
                  </w:pPr>
                </w:p>
              </w:tc>
              <w:tc>
                <w:tcPr>
                  <w:tcW w:w="335" w:type="dxa"/>
                  <w:vMerge w:val="continue"/>
                  <w:vAlign w:val="center"/>
                </w:tcPr>
                <w:p>
                  <w:pPr>
                    <w:pStyle w:val="54"/>
                    <w:rPr>
                      <w:color w:val="auto"/>
                      <w:kern w:val="21"/>
                      <w:sz w:val="18"/>
                      <w:szCs w:val="18"/>
                    </w:rPr>
                  </w:pPr>
                </w:p>
              </w:tc>
              <w:tc>
                <w:tcPr>
                  <w:tcW w:w="335" w:type="dxa"/>
                  <w:vMerge w:val="continue"/>
                  <w:shd w:val="clear" w:color="auto" w:fill="auto"/>
                  <w:vAlign w:val="center"/>
                </w:tcPr>
                <w:p>
                  <w:pPr>
                    <w:widowControl/>
                    <w:jc w:val="center"/>
                    <w:textAlignment w:val="center"/>
                    <w:rPr>
                      <w:color w:val="auto"/>
                      <w:kern w:val="21"/>
                      <w:sz w:val="18"/>
                      <w:szCs w:val="18"/>
                      <w:lang w:bidi="ar"/>
                    </w:rPr>
                  </w:pPr>
                </w:p>
              </w:tc>
              <w:tc>
                <w:tcPr>
                  <w:tcW w:w="349" w:type="dxa"/>
                  <w:shd w:val="clear" w:color="auto" w:fill="auto"/>
                  <w:vAlign w:val="center"/>
                </w:tcPr>
                <w:p>
                  <w:pPr>
                    <w:pStyle w:val="54"/>
                    <w:rPr>
                      <w:color w:val="auto"/>
                      <w:kern w:val="21"/>
                      <w:sz w:val="18"/>
                      <w:szCs w:val="18"/>
                    </w:rPr>
                  </w:pPr>
                  <w:r>
                    <w:rPr>
                      <w:rFonts w:hint="eastAsia"/>
                      <w:color w:val="auto"/>
                      <w:kern w:val="21"/>
                      <w:sz w:val="18"/>
                      <w:szCs w:val="18"/>
                    </w:rPr>
                    <w:t>氮氧化物</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default"/>
                      <w:color w:val="auto"/>
                      <w:kern w:val="21"/>
                      <w:sz w:val="18"/>
                      <w:szCs w:val="18"/>
                      <w:lang w:val="en-US" w:bidi="ar"/>
                    </w:rPr>
                  </w:pPr>
                  <w:r>
                    <w:rPr>
                      <w:rFonts w:hint="eastAsia"/>
                      <w:color w:val="auto"/>
                      <w:kern w:val="21"/>
                      <w:sz w:val="18"/>
                      <w:szCs w:val="18"/>
                      <w:lang w:val="en-US" w:eastAsia="zh-CN" w:bidi="ar"/>
                    </w:rPr>
                    <w:t>126</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0.231</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0.500</w:t>
                  </w:r>
                </w:p>
              </w:tc>
              <w:tc>
                <w:tcPr>
                  <w:tcW w:w="335" w:type="dxa"/>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低氮燃烧</w:t>
                  </w:r>
                </w:p>
              </w:tc>
              <w:tc>
                <w:tcPr>
                  <w:tcW w:w="455" w:type="dxa"/>
                  <w:shd w:val="clear" w:color="auto" w:fill="auto"/>
                  <w:vAlign w:val="center"/>
                </w:tcPr>
                <w:p>
                  <w:pPr>
                    <w:widowControl/>
                    <w:jc w:val="center"/>
                    <w:textAlignment w:val="center"/>
                    <w:rPr>
                      <w:rFonts w:hint="eastAsia" w:eastAsia="宋体"/>
                      <w:color w:val="auto"/>
                      <w:kern w:val="21"/>
                      <w:sz w:val="18"/>
                      <w:szCs w:val="18"/>
                      <w:lang w:eastAsia="zh-CN" w:bidi="ar"/>
                    </w:rPr>
                  </w:pPr>
                  <w:r>
                    <w:rPr>
                      <w:rFonts w:hint="eastAsia"/>
                      <w:color w:val="auto"/>
                      <w:kern w:val="21"/>
                      <w:sz w:val="18"/>
                      <w:szCs w:val="18"/>
                      <w:lang w:bidi="ar"/>
                    </w:rPr>
                    <w:t>30</w:t>
                  </w:r>
                  <w:r>
                    <w:rPr>
                      <w:rFonts w:hint="eastAsia"/>
                      <w:color w:val="auto"/>
                      <w:kern w:val="21"/>
                      <w:sz w:val="18"/>
                      <w:szCs w:val="18"/>
                      <w:lang w:eastAsia="zh-CN" w:bidi="ar"/>
                    </w:rPr>
                    <w:t>（</w:t>
                  </w:r>
                  <w:r>
                    <w:rPr>
                      <w:rFonts w:hint="eastAsia"/>
                      <w:color w:val="auto"/>
                      <w:kern w:val="21"/>
                      <w:sz w:val="18"/>
                      <w:szCs w:val="18"/>
                      <w:lang w:val="en-US" w:eastAsia="zh-CN" w:bidi="ar"/>
                    </w:rPr>
                    <w:t>产生环节抑制</w:t>
                  </w:r>
                  <w:r>
                    <w:rPr>
                      <w:rFonts w:hint="eastAsia"/>
                      <w:color w:val="auto"/>
                      <w:kern w:val="21"/>
                      <w:sz w:val="18"/>
                      <w:szCs w:val="18"/>
                      <w:lang w:eastAsia="zh-CN" w:bidi="ar"/>
                    </w:rPr>
                    <w:t>）</w:t>
                  </w:r>
                </w:p>
              </w:tc>
              <w:tc>
                <w:tcPr>
                  <w:tcW w:w="33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126</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0.231</w:t>
                  </w:r>
                </w:p>
              </w:tc>
              <w:tc>
                <w:tcPr>
                  <w:tcW w:w="729"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restart"/>
                  <w:vAlign w:val="center"/>
                </w:tcPr>
                <w:p>
                  <w:pPr>
                    <w:pStyle w:val="54"/>
                    <w:rPr>
                      <w:color w:val="auto"/>
                      <w:kern w:val="21"/>
                      <w:sz w:val="18"/>
                      <w:szCs w:val="18"/>
                    </w:rPr>
                  </w:pPr>
                  <w:r>
                    <w:rPr>
                      <w:rFonts w:hint="eastAsia"/>
                      <w:color w:val="auto"/>
                      <w:kern w:val="21"/>
                      <w:sz w:val="18"/>
                      <w:szCs w:val="18"/>
                    </w:rPr>
                    <w:t>搅拌工序</w:t>
                  </w:r>
                </w:p>
              </w:tc>
              <w:tc>
                <w:tcPr>
                  <w:tcW w:w="335" w:type="dxa"/>
                  <w:vMerge w:val="restart"/>
                  <w:vAlign w:val="center"/>
                </w:tcPr>
                <w:p>
                  <w:pPr>
                    <w:pStyle w:val="54"/>
                    <w:rPr>
                      <w:color w:val="auto"/>
                      <w:kern w:val="21"/>
                      <w:sz w:val="18"/>
                      <w:szCs w:val="18"/>
                    </w:rPr>
                  </w:pPr>
                  <w:r>
                    <w:rPr>
                      <w:rFonts w:hint="eastAsia"/>
                      <w:color w:val="auto"/>
                      <w:kern w:val="21"/>
                      <w:sz w:val="18"/>
                      <w:szCs w:val="18"/>
                    </w:rPr>
                    <w:t>搅拌工序</w:t>
                  </w:r>
                </w:p>
              </w:tc>
              <w:tc>
                <w:tcPr>
                  <w:tcW w:w="335" w:type="dxa"/>
                  <w:vMerge w:val="restart"/>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有组织</w:t>
                  </w:r>
                </w:p>
              </w:tc>
              <w:tc>
                <w:tcPr>
                  <w:tcW w:w="349"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rPr>
                    <w:t>沥青烟</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vMerge w:val="restart"/>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1</w:t>
                  </w:r>
                  <w:r>
                    <w:rPr>
                      <w:rFonts w:hint="eastAsia"/>
                      <w:color w:val="auto"/>
                      <w:kern w:val="21"/>
                      <w:sz w:val="18"/>
                      <w:szCs w:val="18"/>
                      <w:lang w:bidi="ar"/>
                    </w:rPr>
                    <w:t>0000</w:t>
                  </w: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548.4</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5.484</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5.923</w:t>
                  </w:r>
                </w:p>
              </w:tc>
              <w:tc>
                <w:tcPr>
                  <w:tcW w:w="335" w:type="dxa"/>
                  <w:vMerge w:val="restart"/>
                  <w:shd w:val="clear" w:color="auto" w:fill="auto"/>
                  <w:vAlign w:val="center"/>
                </w:tcPr>
                <w:p>
                  <w:pPr>
                    <w:widowControl/>
                    <w:jc w:val="center"/>
                    <w:textAlignment w:val="center"/>
                    <w:rPr>
                      <w:color w:val="auto"/>
                      <w:kern w:val="21"/>
                      <w:sz w:val="18"/>
                      <w:szCs w:val="18"/>
                    </w:rPr>
                  </w:pPr>
                  <w:r>
                    <w:rPr>
                      <w:rFonts w:hint="eastAsia"/>
                      <w:color w:val="auto"/>
                      <w:kern w:val="21"/>
                      <w:sz w:val="18"/>
                      <w:szCs w:val="18"/>
                    </w:rPr>
                    <w:t>布袋除尘+活性炭吸附</w:t>
                  </w:r>
                </w:p>
              </w:tc>
              <w:tc>
                <w:tcPr>
                  <w:tcW w:w="45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99</w:t>
                  </w:r>
                </w:p>
              </w:tc>
              <w:tc>
                <w:tcPr>
                  <w:tcW w:w="33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restart"/>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10000</w:t>
                  </w: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5.484</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0.055</w:t>
                  </w:r>
                </w:p>
              </w:tc>
              <w:tc>
                <w:tcPr>
                  <w:tcW w:w="729"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continue"/>
                  <w:vAlign w:val="center"/>
                </w:tcPr>
                <w:p>
                  <w:pPr>
                    <w:pStyle w:val="54"/>
                    <w:rPr>
                      <w:rFonts w:hint="eastAsia"/>
                      <w:color w:val="auto"/>
                      <w:kern w:val="21"/>
                      <w:sz w:val="18"/>
                      <w:szCs w:val="18"/>
                    </w:rPr>
                  </w:pPr>
                </w:p>
              </w:tc>
              <w:tc>
                <w:tcPr>
                  <w:tcW w:w="335" w:type="dxa"/>
                  <w:vMerge w:val="continue"/>
                  <w:vAlign w:val="center"/>
                </w:tcPr>
                <w:p>
                  <w:pPr>
                    <w:pStyle w:val="54"/>
                    <w:rPr>
                      <w:rFonts w:hint="eastAsia"/>
                      <w:color w:val="auto"/>
                      <w:kern w:val="21"/>
                      <w:sz w:val="18"/>
                      <w:szCs w:val="18"/>
                    </w:rPr>
                  </w:pPr>
                </w:p>
              </w:tc>
              <w:tc>
                <w:tcPr>
                  <w:tcW w:w="335" w:type="dxa"/>
                  <w:vMerge w:val="continue"/>
                  <w:shd w:val="clear" w:color="auto" w:fill="auto"/>
                  <w:vAlign w:val="center"/>
                </w:tcPr>
                <w:p>
                  <w:pPr>
                    <w:widowControl/>
                    <w:jc w:val="center"/>
                    <w:textAlignment w:val="center"/>
                    <w:rPr>
                      <w:rFonts w:hint="eastAsia"/>
                      <w:color w:val="auto"/>
                      <w:kern w:val="21"/>
                      <w:sz w:val="18"/>
                      <w:szCs w:val="18"/>
                      <w:lang w:bidi="ar"/>
                    </w:rPr>
                  </w:pPr>
                </w:p>
              </w:tc>
              <w:tc>
                <w:tcPr>
                  <w:tcW w:w="349" w:type="dxa"/>
                  <w:shd w:val="clear" w:color="auto" w:fill="auto"/>
                  <w:vAlign w:val="center"/>
                </w:tcPr>
                <w:p>
                  <w:pPr>
                    <w:widowControl/>
                    <w:jc w:val="center"/>
                    <w:textAlignment w:val="center"/>
                    <w:rPr>
                      <w:rFonts w:hint="eastAsia" w:eastAsia="宋体"/>
                      <w:color w:val="auto"/>
                      <w:kern w:val="21"/>
                      <w:sz w:val="18"/>
                      <w:szCs w:val="18"/>
                      <w:lang w:val="en-US" w:eastAsia="zh-CN"/>
                    </w:rPr>
                  </w:pPr>
                  <w:r>
                    <w:rPr>
                      <w:rFonts w:hint="eastAsia"/>
                      <w:color w:val="auto"/>
                      <w:kern w:val="21"/>
                      <w:sz w:val="18"/>
                      <w:szCs w:val="18"/>
                      <w:lang w:val="en-US" w:eastAsia="zh-CN"/>
                    </w:rPr>
                    <w:t>非甲烷总烃</w:t>
                  </w:r>
                </w:p>
              </w:tc>
              <w:tc>
                <w:tcPr>
                  <w:tcW w:w="335" w:type="dxa"/>
                  <w:shd w:val="clear" w:color="auto" w:fill="auto"/>
                  <w:vAlign w:val="center"/>
                </w:tcPr>
                <w:p>
                  <w:pPr>
                    <w:jc w:val="center"/>
                    <w:rPr>
                      <w:rFonts w:hint="eastAsia" w:eastAsia="宋体"/>
                      <w:color w:val="auto"/>
                      <w:kern w:val="21"/>
                      <w:sz w:val="18"/>
                      <w:szCs w:val="18"/>
                      <w:lang w:val="en-US" w:eastAsia="zh-CN"/>
                    </w:rPr>
                  </w:pPr>
                  <w:r>
                    <w:rPr>
                      <w:rFonts w:hint="eastAsia"/>
                      <w:color w:val="auto"/>
                      <w:kern w:val="21"/>
                      <w:sz w:val="18"/>
                      <w:szCs w:val="18"/>
                      <w:lang w:val="en-US" w:eastAsia="zh-CN"/>
                    </w:rPr>
                    <w:t>系数法</w:t>
                  </w:r>
                </w:p>
              </w:tc>
              <w:tc>
                <w:tcPr>
                  <w:tcW w:w="514" w:type="dxa"/>
                  <w:vMerge w:val="continue"/>
                  <w:shd w:val="clear" w:color="auto" w:fill="auto"/>
                  <w:vAlign w:val="center"/>
                </w:tcPr>
                <w:p>
                  <w:pPr>
                    <w:widowControl/>
                    <w:jc w:val="center"/>
                    <w:textAlignment w:val="center"/>
                    <w:rPr>
                      <w:rFonts w:hint="eastAsia"/>
                      <w:color w:val="auto"/>
                      <w:kern w:val="21"/>
                      <w:sz w:val="18"/>
                      <w:szCs w:val="18"/>
                      <w:lang w:val="en-US" w:eastAsia="zh-CN" w:bidi="ar"/>
                    </w:rPr>
                  </w:pPr>
                </w:p>
              </w:tc>
              <w:tc>
                <w:tcPr>
                  <w:tcW w:w="676" w:type="dxa"/>
                  <w:shd w:val="clear" w:color="auto" w:fill="auto"/>
                  <w:vAlign w:val="center"/>
                </w:tcPr>
                <w:p>
                  <w:pPr>
                    <w:widowControl/>
                    <w:jc w:val="center"/>
                    <w:textAlignment w:val="center"/>
                    <w:rPr>
                      <w:rFonts w:hint="default"/>
                      <w:color w:val="auto"/>
                      <w:kern w:val="21"/>
                      <w:sz w:val="18"/>
                      <w:szCs w:val="18"/>
                      <w:lang w:val="en-US" w:eastAsia="zh-CN" w:bidi="ar"/>
                    </w:rPr>
                  </w:pPr>
                  <w:r>
                    <w:rPr>
                      <w:rFonts w:hint="eastAsia"/>
                      <w:color w:val="auto"/>
                      <w:kern w:val="21"/>
                      <w:sz w:val="18"/>
                      <w:szCs w:val="18"/>
                      <w:lang w:val="en-US" w:eastAsia="zh-CN" w:bidi="ar"/>
                    </w:rPr>
                    <w:t>2.4</w:t>
                  </w:r>
                </w:p>
              </w:tc>
              <w:tc>
                <w:tcPr>
                  <w:tcW w:w="728" w:type="dxa"/>
                  <w:shd w:val="clear" w:color="auto" w:fill="auto"/>
                  <w:vAlign w:val="center"/>
                </w:tcPr>
                <w:p>
                  <w:pPr>
                    <w:widowControl/>
                    <w:jc w:val="center"/>
                    <w:textAlignment w:val="center"/>
                    <w:rPr>
                      <w:rFonts w:hint="default"/>
                      <w:color w:val="auto"/>
                      <w:kern w:val="21"/>
                      <w:sz w:val="18"/>
                      <w:szCs w:val="18"/>
                      <w:lang w:val="en-US" w:eastAsia="zh-CN" w:bidi="ar"/>
                    </w:rPr>
                  </w:pPr>
                  <w:r>
                    <w:rPr>
                      <w:rFonts w:hint="eastAsia"/>
                      <w:color w:val="auto"/>
                      <w:kern w:val="21"/>
                      <w:sz w:val="18"/>
                      <w:szCs w:val="18"/>
                      <w:lang w:val="en-US" w:eastAsia="zh-CN" w:bidi="ar"/>
                    </w:rPr>
                    <w:t>0.024</w:t>
                  </w:r>
                </w:p>
              </w:tc>
              <w:tc>
                <w:tcPr>
                  <w:tcW w:w="728" w:type="dxa"/>
                  <w:shd w:val="clear" w:color="auto" w:fill="auto"/>
                  <w:vAlign w:val="center"/>
                </w:tcPr>
                <w:p>
                  <w:pPr>
                    <w:widowControl/>
                    <w:jc w:val="center"/>
                    <w:textAlignment w:val="center"/>
                    <w:rPr>
                      <w:rFonts w:hint="default"/>
                      <w:color w:val="auto"/>
                      <w:kern w:val="21"/>
                      <w:sz w:val="18"/>
                      <w:szCs w:val="18"/>
                      <w:lang w:val="en-US" w:eastAsia="zh-CN" w:bidi="ar"/>
                    </w:rPr>
                  </w:pPr>
                  <w:r>
                    <w:rPr>
                      <w:rFonts w:hint="eastAsia"/>
                      <w:color w:val="auto"/>
                      <w:kern w:val="21"/>
                      <w:sz w:val="18"/>
                      <w:szCs w:val="18"/>
                      <w:lang w:val="en-US" w:eastAsia="zh-CN" w:bidi="ar"/>
                    </w:rPr>
                    <w:t>0.026</w:t>
                  </w:r>
                </w:p>
              </w:tc>
              <w:tc>
                <w:tcPr>
                  <w:tcW w:w="335" w:type="dxa"/>
                  <w:vMerge w:val="continue"/>
                  <w:shd w:val="clear" w:color="auto" w:fill="auto"/>
                  <w:vAlign w:val="center"/>
                </w:tcPr>
                <w:p>
                  <w:pPr>
                    <w:widowControl/>
                    <w:jc w:val="center"/>
                    <w:textAlignment w:val="center"/>
                    <w:rPr>
                      <w:rFonts w:hint="eastAsia"/>
                      <w:color w:val="auto"/>
                      <w:kern w:val="21"/>
                      <w:sz w:val="18"/>
                      <w:szCs w:val="18"/>
                    </w:rPr>
                  </w:pPr>
                </w:p>
              </w:tc>
              <w:tc>
                <w:tcPr>
                  <w:tcW w:w="455"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90</w:t>
                  </w:r>
                </w:p>
              </w:tc>
              <w:tc>
                <w:tcPr>
                  <w:tcW w:w="335" w:type="dxa"/>
                  <w:shd w:val="clear" w:color="auto" w:fill="auto"/>
                  <w:vAlign w:val="center"/>
                </w:tcPr>
                <w:p>
                  <w:pPr>
                    <w:widowControl/>
                    <w:jc w:val="center"/>
                    <w:textAlignment w:val="center"/>
                    <w:rPr>
                      <w:rFonts w:hint="eastAsia" w:eastAsia="宋体"/>
                      <w:color w:val="auto"/>
                      <w:kern w:val="21"/>
                      <w:sz w:val="18"/>
                      <w:szCs w:val="18"/>
                      <w:lang w:val="en-US" w:eastAsia="zh-CN" w:bidi="ar"/>
                    </w:rPr>
                  </w:pPr>
                  <w:r>
                    <w:rPr>
                      <w:rFonts w:hint="eastAsia"/>
                      <w:color w:val="auto"/>
                      <w:kern w:val="21"/>
                      <w:sz w:val="18"/>
                      <w:szCs w:val="18"/>
                      <w:lang w:val="en-US" w:eastAsia="zh-CN" w:bidi="ar"/>
                    </w:rPr>
                    <w:t>是</w:t>
                  </w:r>
                </w:p>
              </w:tc>
              <w:tc>
                <w:tcPr>
                  <w:tcW w:w="335" w:type="dxa"/>
                  <w:shd w:val="clear" w:color="auto" w:fill="auto"/>
                  <w:vAlign w:val="center"/>
                </w:tcPr>
                <w:p>
                  <w:pPr>
                    <w:jc w:val="center"/>
                    <w:rPr>
                      <w:rFonts w:hint="eastAsia" w:eastAsia="宋体"/>
                      <w:color w:val="auto"/>
                      <w:kern w:val="21"/>
                      <w:sz w:val="18"/>
                      <w:szCs w:val="18"/>
                      <w:lang w:val="en-US" w:eastAsia="zh-CN"/>
                    </w:rPr>
                  </w:pPr>
                  <w:r>
                    <w:rPr>
                      <w:rFonts w:hint="eastAsia"/>
                      <w:color w:val="auto"/>
                      <w:kern w:val="21"/>
                      <w:sz w:val="18"/>
                      <w:szCs w:val="18"/>
                      <w:lang w:val="en-US" w:eastAsia="zh-CN"/>
                    </w:rPr>
                    <w:t>物料衡算</w:t>
                  </w:r>
                </w:p>
              </w:tc>
              <w:tc>
                <w:tcPr>
                  <w:tcW w:w="514" w:type="dxa"/>
                  <w:vMerge w:val="continue"/>
                  <w:shd w:val="clear" w:color="auto" w:fill="auto"/>
                  <w:vAlign w:val="center"/>
                </w:tcPr>
                <w:p>
                  <w:pPr>
                    <w:widowControl/>
                    <w:jc w:val="center"/>
                    <w:textAlignment w:val="center"/>
                    <w:rPr>
                      <w:rFonts w:hint="eastAsia"/>
                      <w:color w:val="auto"/>
                      <w:kern w:val="21"/>
                      <w:sz w:val="18"/>
                      <w:szCs w:val="18"/>
                      <w:lang w:bidi="ar"/>
                    </w:rPr>
                  </w:pPr>
                </w:p>
              </w:tc>
              <w:tc>
                <w:tcPr>
                  <w:tcW w:w="676" w:type="dxa"/>
                  <w:shd w:val="clear" w:color="auto" w:fill="auto"/>
                  <w:vAlign w:val="center"/>
                </w:tcPr>
                <w:p>
                  <w:pPr>
                    <w:widowControl/>
                    <w:jc w:val="center"/>
                    <w:textAlignment w:val="center"/>
                    <w:rPr>
                      <w:rFonts w:hint="default"/>
                      <w:color w:val="auto"/>
                      <w:kern w:val="21"/>
                      <w:sz w:val="18"/>
                      <w:szCs w:val="18"/>
                      <w:lang w:val="en-US" w:eastAsia="zh-CN" w:bidi="ar"/>
                    </w:rPr>
                  </w:pPr>
                  <w:r>
                    <w:rPr>
                      <w:rFonts w:hint="eastAsia"/>
                      <w:color w:val="auto"/>
                      <w:kern w:val="21"/>
                      <w:sz w:val="18"/>
                      <w:szCs w:val="18"/>
                      <w:lang w:val="en-US" w:eastAsia="zh-CN" w:bidi="ar"/>
                    </w:rPr>
                    <w:t>0.24</w:t>
                  </w:r>
                </w:p>
              </w:tc>
              <w:tc>
                <w:tcPr>
                  <w:tcW w:w="728" w:type="dxa"/>
                  <w:shd w:val="clear" w:color="auto" w:fill="auto"/>
                  <w:vAlign w:val="center"/>
                </w:tcPr>
                <w:p>
                  <w:pPr>
                    <w:widowControl/>
                    <w:jc w:val="center"/>
                    <w:textAlignment w:val="center"/>
                    <w:rPr>
                      <w:rFonts w:hint="default"/>
                      <w:color w:val="auto"/>
                      <w:kern w:val="21"/>
                      <w:sz w:val="18"/>
                      <w:szCs w:val="18"/>
                      <w:lang w:val="en-US" w:eastAsia="zh-CN" w:bidi="ar"/>
                    </w:rPr>
                  </w:pPr>
                  <w:r>
                    <w:rPr>
                      <w:rFonts w:hint="eastAsia"/>
                      <w:color w:val="auto"/>
                      <w:kern w:val="21"/>
                      <w:sz w:val="18"/>
                      <w:szCs w:val="18"/>
                      <w:lang w:val="en-US" w:eastAsia="zh-CN" w:bidi="ar"/>
                    </w:rPr>
                    <w:t>0.002</w:t>
                  </w:r>
                </w:p>
              </w:tc>
              <w:tc>
                <w:tcPr>
                  <w:tcW w:w="729" w:type="dxa"/>
                  <w:shd w:val="clear" w:color="auto" w:fill="auto"/>
                  <w:vAlign w:val="center"/>
                </w:tcPr>
                <w:p>
                  <w:pPr>
                    <w:widowControl/>
                    <w:jc w:val="center"/>
                    <w:textAlignment w:val="center"/>
                    <w:rPr>
                      <w:rFonts w:hint="default"/>
                      <w:color w:val="auto"/>
                      <w:kern w:val="21"/>
                      <w:sz w:val="18"/>
                      <w:szCs w:val="18"/>
                      <w:lang w:val="en-US" w:eastAsia="zh-CN" w:bidi="ar"/>
                    </w:rPr>
                  </w:pPr>
                  <w:r>
                    <w:rPr>
                      <w:rFonts w:hint="eastAsia"/>
                      <w:color w:val="auto"/>
                      <w:kern w:val="21"/>
                      <w:sz w:val="18"/>
                      <w:szCs w:val="18"/>
                      <w:lang w:val="en-US" w:eastAsia="zh-CN" w:bidi="ar"/>
                    </w:rPr>
                    <w:t>0.003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Merge w:val="continue"/>
                  <w:vAlign w:val="center"/>
                </w:tcPr>
                <w:p>
                  <w:pPr>
                    <w:pStyle w:val="54"/>
                    <w:rPr>
                      <w:color w:val="auto"/>
                      <w:kern w:val="21"/>
                      <w:sz w:val="18"/>
                      <w:szCs w:val="18"/>
                    </w:rPr>
                  </w:pPr>
                </w:p>
              </w:tc>
              <w:tc>
                <w:tcPr>
                  <w:tcW w:w="335" w:type="dxa"/>
                  <w:vMerge w:val="continue"/>
                  <w:vAlign w:val="center"/>
                </w:tcPr>
                <w:p>
                  <w:pPr>
                    <w:pStyle w:val="54"/>
                    <w:rPr>
                      <w:color w:val="auto"/>
                      <w:kern w:val="21"/>
                      <w:sz w:val="18"/>
                      <w:szCs w:val="18"/>
                    </w:rPr>
                  </w:pPr>
                </w:p>
              </w:tc>
              <w:tc>
                <w:tcPr>
                  <w:tcW w:w="335" w:type="dxa"/>
                  <w:vMerge w:val="continue"/>
                  <w:shd w:val="clear" w:color="auto" w:fill="auto"/>
                  <w:vAlign w:val="center"/>
                </w:tcPr>
                <w:p>
                  <w:pPr>
                    <w:widowControl/>
                    <w:jc w:val="center"/>
                    <w:textAlignment w:val="center"/>
                    <w:rPr>
                      <w:color w:val="auto"/>
                      <w:kern w:val="21"/>
                      <w:sz w:val="18"/>
                      <w:szCs w:val="18"/>
                      <w:lang w:bidi="ar"/>
                    </w:rPr>
                  </w:pPr>
                </w:p>
              </w:tc>
              <w:tc>
                <w:tcPr>
                  <w:tcW w:w="349"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苯并[a]芘</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eastAsia" w:eastAsia="宋体"/>
                      <w:color w:val="auto"/>
                      <w:kern w:val="21"/>
                      <w:sz w:val="18"/>
                      <w:szCs w:val="18"/>
                      <w:lang w:val="en-US" w:eastAsia="zh-CN" w:bidi="ar"/>
                    </w:rPr>
                  </w:pPr>
                  <w:r>
                    <w:rPr>
                      <w:rFonts w:hint="eastAsia"/>
                      <w:color w:val="auto"/>
                      <w:kern w:val="21"/>
                      <w:sz w:val="18"/>
                      <w:szCs w:val="18"/>
                      <w:lang w:val="en-US" w:eastAsia="zh-CN" w:bidi="ar"/>
                    </w:rPr>
                    <w:t>8.22</w:t>
                  </w:r>
                  <w:r>
                    <w:rPr>
                      <w:color w:val="auto"/>
                      <w:kern w:val="0"/>
                      <w:sz w:val="18"/>
                      <w:szCs w:val="18"/>
                    </w:rPr>
                    <w:t>×10</w:t>
                  </w:r>
                  <w:r>
                    <w:rPr>
                      <w:color w:val="auto"/>
                      <w:kern w:val="0"/>
                      <w:sz w:val="18"/>
                      <w:szCs w:val="18"/>
                      <w:vertAlign w:val="superscript"/>
                    </w:rPr>
                    <w:t>-</w:t>
                  </w:r>
                  <w:r>
                    <w:rPr>
                      <w:rFonts w:hint="eastAsia"/>
                      <w:color w:val="auto"/>
                      <w:kern w:val="0"/>
                      <w:sz w:val="18"/>
                      <w:szCs w:val="18"/>
                      <w:vertAlign w:val="superscript"/>
                      <w:lang w:val="en-US" w:eastAsia="zh-CN"/>
                    </w:rPr>
                    <w:t>3</w:t>
                  </w:r>
                </w:p>
              </w:tc>
              <w:tc>
                <w:tcPr>
                  <w:tcW w:w="728"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8.22</w:t>
                  </w:r>
                  <w:r>
                    <w:rPr>
                      <w:rFonts w:hint="eastAsia"/>
                      <w:color w:val="auto"/>
                      <w:kern w:val="21"/>
                      <w:sz w:val="18"/>
                      <w:szCs w:val="18"/>
                      <w:lang w:bidi="ar"/>
                    </w:rPr>
                    <w:t>×10</w:t>
                  </w:r>
                  <w:r>
                    <w:rPr>
                      <w:rFonts w:hint="eastAsia"/>
                      <w:color w:val="auto"/>
                      <w:kern w:val="21"/>
                      <w:sz w:val="18"/>
                      <w:szCs w:val="18"/>
                      <w:vertAlign w:val="superscript"/>
                      <w:lang w:bidi="ar"/>
                    </w:rPr>
                    <w:t>-5</w:t>
                  </w:r>
                </w:p>
              </w:tc>
              <w:tc>
                <w:tcPr>
                  <w:tcW w:w="728"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8.88</w:t>
                  </w:r>
                  <w:r>
                    <w:rPr>
                      <w:rFonts w:hint="eastAsia"/>
                      <w:color w:val="auto"/>
                      <w:kern w:val="21"/>
                      <w:sz w:val="18"/>
                      <w:szCs w:val="18"/>
                      <w:lang w:bidi="ar"/>
                    </w:rPr>
                    <w:t>×10</w:t>
                  </w:r>
                  <w:r>
                    <w:rPr>
                      <w:rFonts w:hint="eastAsia"/>
                      <w:color w:val="auto"/>
                      <w:kern w:val="21"/>
                      <w:sz w:val="18"/>
                      <w:szCs w:val="18"/>
                      <w:vertAlign w:val="superscript"/>
                      <w:lang w:bidi="ar"/>
                    </w:rPr>
                    <w:t>-5</w:t>
                  </w:r>
                </w:p>
              </w:tc>
              <w:tc>
                <w:tcPr>
                  <w:tcW w:w="335" w:type="dxa"/>
                  <w:vMerge w:val="continue"/>
                  <w:shd w:val="clear" w:color="auto" w:fill="auto"/>
                  <w:vAlign w:val="center"/>
                </w:tcPr>
                <w:p>
                  <w:pPr>
                    <w:widowControl/>
                    <w:jc w:val="center"/>
                    <w:textAlignment w:val="center"/>
                    <w:rPr>
                      <w:color w:val="auto"/>
                      <w:kern w:val="21"/>
                      <w:sz w:val="18"/>
                      <w:szCs w:val="18"/>
                    </w:rPr>
                  </w:pPr>
                </w:p>
              </w:tc>
              <w:tc>
                <w:tcPr>
                  <w:tcW w:w="45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90</w:t>
                  </w:r>
                </w:p>
              </w:tc>
              <w:tc>
                <w:tcPr>
                  <w:tcW w:w="33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vMerge w:val="continue"/>
                  <w:shd w:val="clear" w:color="auto" w:fill="auto"/>
                  <w:vAlign w:val="center"/>
                </w:tcPr>
                <w:p>
                  <w:pPr>
                    <w:widowControl/>
                    <w:jc w:val="center"/>
                    <w:textAlignment w:val="center"/>
                    <w:rPr>
                      <w:color w:val="auto"/>
                      <w:kern w:val="21"/>
                      <w:sz w:val="18"/>
                      <w:szCs w:val="18"/>
                      <w:lang w:bidi="ar"/>
                    </w:rPr>
                  </w:pPr>
                </w:p>
              </w:tc>
              <w:tc>
                <w:tcPr>
                  <w:tcW w:w="676" w:type="dxa"/>
                  <w:shd w:val="clear" w:color="auto" w:fill="auto"/>
                  <w:vAlign w:val="center"/>
                </w:tcPr>
                <w:p>
                  <w:pPr>
                    <w:widowControl/>
                    <w:jc w:val="center"/>
                    <w:textAlignment w:val="center"/>
                    <w:rPr>
                      <w:rFonts w:hint="eastAsia" w:eastAsia="宋体"/>
                      <w:color w:val="auto"/>
                      <w:kern w:val="21"/>
                      <w:sz w:val="18"/>
                      <w:szCs w:val="18"/>
                      <w:lang w:val="en-US" w:eastAsia="zh-CN" w:bidi="ar"/>
                    </w:rPr>
                  </w:pPr>
                  <w:r>
                    <w:rPr>
                      <w:rFonts w:hint="eastAsia"/>
                      <w:color w:val="auto"/>
                      <w:kern w:val="21"/>
                      <w:sz w:val="18"/>
                      <w:szCs w:val="18"/>
                      <w:lang w:val="en-US" w:eastAsia="zh-CN" w:bidi="ar"/>
                    </w:rPr>
                    <w:t>8.22</w:t>
                  </w:r>
                  <w:r>
                    <w:rPr>
                      <w:color w:val="auto"/>
                      <w:kern w:val="0"/>
                      <w:sz w:val="18"/>
                      <w:szCs w:val="18"/>
                    </w:rPr>
                    <w:t>×10</w:t>
                  </w:r>
                  <w:r>
                    <w:rPr>
                      <w:color w:val="auto"/>
                      <w:kern w:val="0"/>
                      <w:sz w:val="18"/>
                      <w:szCs w:val="18"/>
                      <w:vertAlign w:val="superscript"/>
                    </w:rPr>
                    <w:t>-</w:t>
                  </w:r>
                  <w:r>
                    <w:rPr>
                      <w:rFonts w:hint="eastAsia"/>
                      <w:color w:val="auto"/>
                      <w:kern w:val="0"/>
                      <w:sz w:val="18"/>
                      <w:szCs w:val="18"/>
                      <w:vertAlign w:val="superscript"/>
                      <w:lang w:val="en-US" w:eastAsia="zh-CN"/>
                    </w:rPr>
                    <w:t>4</w:t>
                  </w:r>
                </w:p>
              </w:tc>
              <w:tc>
                <w:tcPr>
                  <w:tcW w:w="728" w:type="dxa"/>
                  <w:shd w:val="clear" w:color="auto" w:fill="auto"/>
                  <w:vAlign w:val="center"/>
                </w:tcPr>
                <w:p>
                  <w:pPr>
                    <w:widowControl/>
                    <w:jc w:val="center"/>
                    <w:textAlignment w:val="center"/>
                    <w:rPr>
                      <w:rFonts w:hint="eastAsia" w:eastAsia="宋体"/>
                      <w:color w:val="auto"/>
                      <w:kern w:val="21"/>
                      <w:sz w:val="18"/>
                      <w:szCs w:val="18"/>
                      <w:lang w:val="en-US" w:eastAsia="zh-CN" w:bidi="ar"/>
                    </w:rPr>
                  </w:pPr>
                  <w:r>
                    <w:rPr>
                      <w:rFonts w:hint="eastAsia"/>
                      <w:color w:val="auto"/>
                      <w:kern w:val="21"/>
                      <w:sz w:val="18"/>
                      <w:szCs w:val="18"/>
                      <w:lang w:val="en-US" w:eastAsia="zh-CN" w:bidi="ar"/>
                    </w:rPr>
                    <w:t>8.22</w:t>
                  </w:r>
                  <w:r>
                    <w:rPr>
                      <w:rFonts w:hint="eastAsia"/>
                      <w:color w:val="auto"/>
                      <w:kern w:val="21"/>
                      <w:sz w:val="18"/>
                      <w:szCs w:val="18"/>
                      <w:lang w:bidi="ar"/>
                    </w:rPr>
                    <w:t>×10</w:t>
                  </w:r>
                  <w:r>
                    <w:rPr>
                      <w:rFonts w:hint="eastAsia"/>
                      <w:color w:val="auto"/>
                      <w:kern w:val="21"/>
                      <w:sz w:val="18"/>
                      <w:szCs w:val="18"/>
                      <w:vertAlign w:val="superscript"/>
                      <w:lang w:bidi="ar"/>
                    </w:rPr>
                    <w:t>-</w:t>
                  </w:r>
                  <w:r>
                    <w:rPr>
                      <w:rFonts w:hint="eastAsia"/>
                      <w:color w:val="auto"/>
                      <w:kern w:val="21"/>
                      <w:sz w:val="18"/>
                      <w:szCs w:val="18"/>
                      <w:vertAlign w:val="superscript"/>
                      <w:lang w:val="en-US" w:eastAsia="zh-CN" w:bidi="ar"/>
                    </w:rPr>
                    <w:t>6</w:t>
                  </w:r>
                </w:p>
              </w:tc>
              <w:tc>
                <w:tcPr>
                  <w:tcW w:w="729" w:type="dxa"/>
                  <w:shd w:val="clear" w:color="auto" w:fill="auto"/>
                  <w:vAlign w:val="center"/>
                </w:tcPr>
                <w:p>
                  <w:pPr>
                    <w:widowControl/>
                    <w:jc w:val="center"/>
                    <w:textAlignment w:val="center"/>
                    <w:rPr>
                      <w:rFonts w:hint="eastAsia" w:eastAsia="宋体"/>
                      <w:color w:val="auto"/>
                      <w:kern w:val="21"/>
                      <w:sz w:val="18"/>
                      <w:szCs w:val="18"/>
                      <w:lang w:val="en-US" w:eastAsia="zh-CN" w:bidi="ar"/>
                    </w:rPr>
                  </w:pPr>
                  <w:r>
                    <w:rPr>
                      <w:rFonts w:hint="eastAsia"/>
                      <w:color w:val="auto"/>
                      <w:kern w:val="21"/>
                      <w:sz w:val="18"/>
                      <w:szCs w:val="18"/>
                      <w:lang w:val="en-US" w:eastAsia="zh-CN" w:bidi="ar"/>
                    </w:rPr>
                    <w:t>8.88</w:t>
                  </w:r>
                  <w:r>
                    <w:rPr>
                      <w:rFonts w:hint="eastAsia"/>
                      <w:color w:val="auto"/>
                      <w:kern w:val="21"/>
                      <w:sz w:val="18"/>
                      <w:szCs w:val="18"/>
                      <w:lang w:bidi="ar"/>
                    </w:rPr>
                    <w:t>×10</w:t>
                  </w:r>
                  <w:r>
                    <w:rPr>
                      <w:rFonts w:hint="eastAsia"/>
                      <w:color w:val="auto"/>
                      <w:kern w:val="21"/>
                      <w:sz w:val="18"/>
                      <w:szCs w:val="18"/>
                      <w:vertAlign w:val="superscript"/>
                      <w:lang w:bidi="ar"/>
                    </w:rPr>
                    <w:t>-</w:t>
                  </w:r>
                  <w:r>
                    <w:rPr>
                      <w:rFonts w:hint="eastAsia"/>
                      <w:color w:val="auto"/>
                      <w:kern w:val="21"/>
                      <w:sz w:val="18"/>
                      <w:szCs w:val="18"/>
                      <w:vertAlign w:val="superscript"/>
                      <w:lang w:val="en-US" w:eastAsia="zh-CN" w:bidi="ar"/>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335" w:type="dxa"/>
                  <w:vAlign w:val="center"/>
                </w:tcPr>
                <w:p>
                  <w:pPr>
                    <w:pStyle w:val="54"/>
                    <w:rPr>
                      <w:color w:val="auto"/>
                      <w:kern w:val="21"/>
                      <w:sz w:val="18"/>
                      <w:szCs w:val="18"/>
                    </w:rPr>
                  </w:pPr>
                  <w:r>
                    <w:rPr>
                      <w:rFonts w:hint="eastAsia"/>
                      <w:color w:val="auto"/>
                      <w:kern w:val="21"/>
                      <w:sz w:val="18"/>
                      <w:szCs w:val="18"/>
                    </w:rPr>
                    <w:t>粉料筒仓</w:t>
                  </w:r>
                </w:p>
              </w:tc>
              <w:tc>
                <w:tcPr>
                  <w:tcW w:w="335" w:type="dxa"/>
                  <w:vAlign w:val="center"/>
                </w:tcPr>
                <w:p>
                  <w:pPr>
                    <w:pStyle w:val="54"/>
                    <w:rPr>
                      <w:color w:val="auto"/>
                      <w:kern w:val="21"/>
                      <w:sz w:val="18"/>
                      <w:szCs w:val="18"/>
                    </w:rPr>
                  </w:pPr>
                  <w:r>
                    <w:rPr>
                      <w:rFonts w:hint="eastAsia"/>
                      <w:color w:val="auto"/>
                      <w:kern w:val="21"/>
                      <w:sz w:val="18"/>
                      <w:szCs w:val="18"/>
                    </w:rPr>
                    <w:t>粉料筒仓</w:t>
                  </w:r>
                </w:p>
              </w:tc>
              <w:tc>
                <w:tcPr>
                  <w:tcW w:w="33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val="en-US" w:eastAsia="zh-CN" w:bidi="ar"/>
                    </w:rPr>
                    <w:t>有</w:t>
                  </w:r>
                  <w:r>
                    <w:rPr>
                      <w:rFonts w:hint="eastAsia"/>
                      <w:color w:val="auto"/>
                      <w:kern w:val="21"/>
                      <w:sz w:val="18"/>
                      <w:szCs w:val="18"/>
                      <w:lang w:bidi="ar"/>
                    </w:rPr>
                    <w:t>组织</w:t>
                  </w:r>
                </w:p>
              </w:tc>
              <w:tc>
                <w:tcPr>
                  <w:tcW w:w="349"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颗粒物</w:t>
                  </w:r>
                </w:p>
              </w:tc>
              <w:tc>
                <w:tcPr>
                  <w:tcW w:w="335" w:type="dxa"/>
                  <w:shd w:val="clear" w:color="auto" w:fill="auto"/>
                  <w:vAlign w:val="center"/>
                </w:tcPr>
                <w:p>
                  <w:pPr>
                    <w:jc w:val="center"/>
                    <w:rPr>
                      <w:color w:val="auto"/>
                      <w:kern w:val="21"/>
                      <w:sz w:val="18"/>
                      <w:szCs w:val="18"/>
                    </w:rPr>
                  </w:pPr>
                  <w:r>
                    <w:rPr>
                      <w:color w:val="auto"/>
                      <w:kern w:val="21"/>
                      <w:sz w:val="18"/>
                      <w:szCs w:val="18"/>
                    </w:rPr>
                    <w:t>系数法</w:t>
                  </w:r>
                </w:p>
              </w:tc>
              <w:tc>
                <w:tcPr>
                  <w:tcW w:w="514"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10000</w:t>
                  </w: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719.7</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7.197</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0.963</w:t>
                  </w:r>
                </w:p>
              </w:tc>
              <w:tc>
                <w:tcPr>
                  <w:tcW w:w="335" w:type="dxa"/>
                  <w:shd w:val="clear" w:color="auto" w:fill="auto"/>
                  <w:vAlign w:val="center"/>
                </w:tcPr>
                <w:p>
                  <w:pPr>
                    <w:widowControl/>
                    <w:jc w:val="center"/>
                    <w:textAlignment w:val="center"/>
                    <w:rPr>
                      <w:rFonts w:hint="eastAsia" w:eastAsia="宋体"/>
                      <w:color w:val="auto"/>
                      <w:kern w:val="21"/>
                      <w:sz w:val="18"/>
                      <w:szCs w:val="18"/>
                      <w:lang w:eastAsia="zh-CN"/>
                    </w:rPr>
                  </w:pPr>
                  <w:r>
                    <w:rPr>
                      <w:rFonts w:hint="eastAsia"/>
                      <w:color w:val="auto"/>
                      <w:kern w:val="21"/>
                      <w:sz w:val="18"/>
                      <w:szCs w:val="18"/>
                      <w:lang w:val="en-US" w:eastAsia="zh-CN"/>
                    </w:rPr>
                    <w:t>布袋除尘器</w:t>
                  </w:r>
                </w:p>
              </w:tc>
              <w:tc>
                <w:tcPr>
                  <w:tcW w:w="45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99</w:t>
                  </w:r>
                </w:p>
              </w:tc>
              <w:tc>
                <w:tcPr>
                  <w:tcW w:w="335" w:type="dxa"/>
                  <w:shd w:val="clear" w:color="auto" w:fill="auto"/>
                  <w:vAlign w:val="center"/>
                </w:tcPr>
                <w:p>
                  <w:pPr>
                    <w:widowControl/>
                    <w:jc w:val="center"/>
                    <w:textAlignment w:val="center"/>
                    <w:rPr>
                      <w:color w:val="auto"/>
                      <w:kern w:val="21"/>
                      <w:sz w:val="18"/>
                      <w:szCs w:val="18"/>
                      <w:lang w:bidi="ar"/>
                    </w:rPr>
                  </w:pPr>
                  <w:r>
                    <w:rPr>
                      <w:rFonts w:hint="eastAsia"/>
                      <w:color w:val="auto"/>
                      <w:kern w:val="21"/>
                      <w:sz w:val="18"/>
                      <w:szCs w:val="18"/>
                      <w:lang w:bidi="ar"/>
                    </w:rPr>
                    <w:t>是</w:t>
                  </w:r>
                </w:p>
              </w:tc>
              <w:tc>
                <w:tcPr>
                  <w:tcW w:w="335" w:type="dxa"/>
                  <w:shd w:val="clear" w:color="auto" w:fill="auto"/>
                  <w:vAlign w:val="center"/>
                </w:tcPr>
                <w:p>
                  <w:pPr>
                    <w:jc w:val="center"/>
                    <w:rPr>
                      <w:color w:val="auto"/>
                      <w:kern w:val="21"/>
                      <w:sz w:val="18"/>
                      <w:szCs w:val="18"/>
                    </w:rPr>
                  </w:pPr>
                  <w:r>
                    <w:rPr>
                      <w:color w:val="auto"/>
                      <w:kern w:val="21"/>
                      <w:sz w:val="18"/>
                      <w:szCs w:val="18"/>
                    </w:rPr>
                    <w:t>物料</w:t>
                  </w:r>
                </w:p>
                <w:p>
                  <w:pPr>
                    <w:jc w:val="center"/>
                    <w:rPr>
                      <w:color w:val="auto"/>
                      <w:kern w:val="21"/>
                      <w:sz w:val="18"/>
                      <w:szCs w:val="18"/>
                    </w:rPr>
                  </w:pPr>
                  <w:r>
                    <w:rPr>
                      <w:color w:val="auto"/>
                      <w:kern w:val="21"/>
                      <w:sz w:val="18"/>
                      <w:szCs w:val="18"/>
                    </w:rPr>
                    <w:t>衡算</w:t>
                  </w:r>
                </w:p>
              </w:tc>
              <w:tc>
                <w:tcPr>
                  <w:tcW w:w="514"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10000</w:t>
                  </w:r>
                </w:p>
              </w:tc>
              <w:tc>
                <w:tcPr>
                  <w:tcW w:w="676"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7.197</w:t>
                  </w:r>
                </w:p>
              </w:tc>
              <w:tc>
                <w:tcPr>
                  <w:tcW w:w="728"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val="en-US" w:eastAsia="zh-CN" w:bidi="ar"/>
                    </w:rPr>
                    <w:t>0.072</w:t>
                  </w:r>
                </w:p>
              </w:tc>
              <w:tc>
                <w:tcPr>
                  <w:tcW w:w="729" w:type="dxa"/>
                  <w:shd w:val="clear" w:color="auto" w:fill="auto"/>
                  <w:vAlign w:val="center"/>
                </w:tcPr>
                <w:p>
                  <w:pPr>
                    <w:widowControl/>
                    <w:jc w:val="center"/>
                    <w:textAlignment w:val="center"/>
                    <w:rPr>
                      <w:rFonts w:hint="default" w:eastAsia="宋体"/>
                      <w:color w:val="auto"/>
                      <w:kern w:val="21"/>
                      <w:sz w:val="18"/>
                      <w:szCs w:val="18"/>
                      <w:lang w:val="en-US" w:eastAsia="zh-CN" w:bidi="ar"/>
                    </w:rPr>
                  </w:pPr>
                  <w:r>
                    <w:rPr>
                      <w:rFonts w:hint="eastAsia"/>
                      <w:color w:val="auto"/>
                      <w:kern w:val="21"/>
                      <w:sz w:val="18"/>
                      <w:szCs w:val="18"/>
                      <w:lang w:bidi="ar"/>
                    </w:rPr>
                    <w:t>0.0</w:t>
                  </w:r>
                  <w:r>
                    <w:rPr>
                      <w:rFonts w:hint="eastAsia"/>
                      <w:color w:val="auto"/>
                      <w:kern w:val="21"/>
                      <w:sz w:val="18"/>
                      <w:szCs w:val="18"/>
                      <w:lang w:val="en-US" w:eastAsia="zh-CN" w:bidi="ar"/>
                    </w:rPr>
                    <w:t>10</w:t>
                  </w:r>
                </w:p>
              </w:tc>
            </w:tr>
          </w:tbl>
          <w:p>
            <w:pPr>
              <w:widowControl/>
              <w:jc w:val="center"/>
              <w:rPr>
                <w:rFonts w:hAnsi="宋体"/>
                <w:b/>
                <w:color w:val="auto"/>
              </w:rPr>
            </w:pPr>
          </w:p>
          <w:p>
            <w:pPr>
              <w:widowControl/>
              <w:jc w:val="center"/>
              <w:rPr>
                <w:rFonts w:hAnsi="宋体" w:cs="宋体"/>
                <w:color w:val="auto"/>
                <w:sz w:val="21"/>
                <w:szCs w:val="21"/>
              </w:rPr>
            </w:pPr>
            <w:r>
              <w:rPr>
                <w:rFonts w:hint="eastAsia" w:hAnsi="宋体"/>
                <w:b/>
                <w:color w:val="auto"/>
              </w:rPr>
              <w:t>表4-5  废气排放口情况表</w:t>
            </w:r>
          </w:p>
          <w:tbl>
            <w:tblPr>
              <w:tblStyle w:val="30"/>
              <w:tblW w:w="842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51" w:type="dxa"/>
                <w:bottom w:w="0" w:type="dxa"/>
                <w:right w:w="51" w:type="dxa"/>
              </w:tblCellMar>
            </w:tblPr>
            <w:tblGrid>
              <w:gridCol w:w="312"/>
              <w:gridCol w:w="721"/>
              <w:gridCol w:w="675"/>
              <w:gridCol w:w="312"/>
              <w:gridCol w:w="415"/>
              <w:gridCol w:w="1834"/>
              <w:gridCol w:w="1740"/>
              <w:gridCol w:w="686"/>
              <w:gridCol w:w="688"/>
              <w:gridCol w:w="732"/>
              <w:gridCol w:w="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51" w:type="dxa"/>
                  <w:bottom w:w="0" w:type="dxa"/>
                  <w:right w:w="51" w:type="dxa"/>
                </w:tblCellMar>
              </w:tblPrEx>
              <w:trPr>
                <w:trHeight w:val="222" w:hRule="atLeast"/>
                <w:jc w:val="center"/>
              </w:trPr>
              <w:tc>
                <w:tcPr>
                  <w:tcW w:w="312" w:type="dxa"/>
                  <w:vMerge w:val="restart"/>
                  <w:tcBorders>
                    <w:tl2br w:val="nil"/>
                    <w:tr2bl w:val="nil"/>
                  </w:tcBorders>
                  <w:vAlign w:val="center"/>
                </w:tcPr>
                <w:p>
                  <w:pPr>
                    <w:jc w:val="center"/>
                    <w:rPr>
                      <w:color w:val="auto"/>
                      <w:sz w:val="21"/>
                      <w:szCs w:val="21"/>
                    </w:rPr>
                  </w:pPr>
                  <w:r>
                    <w:rPr>
                      <w:rFonts w:hint="eastAsia"/>
                      <w:color w:val="auto"/>
                      <w:sz w:val="21"/>
                      <w:szCs w:val="21"/>
                    </w:rPr>
                    <w:t>序号排放源</w:t>
                  </w:r>
                </w:p>
              </w:tc>
              <w:tc>
                <w:tcPr>
                  <w:tcW w:w="721" w:type="dxa"/>
                  <w:vMerge w:val="restart"/>
                  <w:tcBorders>
                    <w:tl2br w:val="nil"/>
                    <w:tr2bl w:val="nil"/>
                  </w:tcBorders>
                  <w:vAlign w:val="center"/>
                </w:tcPr>
                <w:p>
                  <w:pPr>
                    <w:jc w:val="center"/>
                    <w:rPr>
                      <w:color w:val="auto"/>
                      <w:sz w:val="21"/>
                      <w:szCs w:val="21"/>
                    </w:rPr>
                  </w:pPr>
                  <w:r>
                    <w:rPr>
                      <w:rFonts w:hint="eastAsia"/>
                      <w:color w:val="auto"/>
                      <w:sz w:val="21"/>
                      <w:szCs w:val="21"/>
                    </w:rPr>
                    <w:t>排放口编号</w:t>
                  </w:r>
                </w:p>
              </w:tc>
              <w:tc>
                <w:tcPr>
                  <w:tcW w:w="675" w:type="dxa"/>
                  <w:vMerge w:val="restart"/>
                  <w:tcBorders>
                    <w:tl2br w:val="nil"/>
                    <w:tr2bl w:val="nil"/>
                  </w:tcBorders>
                  <w:vAlign w:val="center"/>
                </w:tcPr>
                <w:p>
                  <w:pPr>
                    <w:jc w:val="center"/>
                    <w:rPr>
                      <w:color w:val="auto"/>
                      <w:sz w:val="21"/>
                      <w:szCs w:val="21"/>
                    </w:rPr>
                  </w:pPr>
                  <w:bookmarkStart w:id="24" w:name="_Toc24441"/>
                  <w:r>
                    <w:rPr>
                      <w:color w:val="auto"/>
                      <w:sz w:val="21"/>
                      <w:szCs w:val="21"/>
                    </w:rPr>
                    <w:t>污染物</w:t>
                  </w:r>
                  <w:bookmarkEnd w:id="24"/>
                  <w:r>
                    <w:rPr>
                      <w:rFonts w:hint="eastAsia"/>
                      <w:color w:val="auto"/>
                      <w:sz w:val="21"/>
                      <w:szCs w:val="21"/>
                    </w:rPr>
                    <w:t>种类</w:t>
                  </w:r>
                </w:p>
              </w:tc>
              <w:tc>
                <w:tcPr>
                  <w:tcW w:w="312" w:type="dxa"/>
                  <w:vMerge w:val="restart"/>
                  <w:tcBorders>
                    <w:tl2br w:val="nil"/>
                    <w:tr2bl w:val="nil"/>
                  </w:tcBorders>
                  <w:vAlign w:val="center"/>
                </w:tcPr>
                <w:p>
                  <w:pPr>
                    <w:jc w:val="center"/>
                    <w:rPr>
                      <w:color w:val="auto"/>
                      <w:sz w:val="21"/>
                      <w:szCs w:val="21"/>
                    </w:rPr>
                  </w:pPr>
                  <w:r>
                    <w:rPr>
                      <w:rFonts w:hint="eastAsia"/>
                      <w:color w:val="auto"/>
                      <w:sz w:val="21"/>
                      <w:szCs w:val="21"/>
                    </w:rPr>
                    <w:t>排放口名称</w:t>
                  </w:r>
                </w:p>
              </w:tc>
              <w:tc>
                <w:tcPr>
                  <w:tcW w:w="415" w:type="dxa"/>
                  <w:vMerge w:val="restart"/>
                  <w:tcBorders>
                    <w:tl2br w:val="nil"/>
                    <w:tr2bl w:val="nil"/>
                  </w:tcBorders>
                  <w:vAlign w:val="center"/>
                </w:tcPr>
                <w:p>
                  <w:pPr>
                    <w:jc w:val="center"/>
                    <w:rPr>
                      <w:color w:val="auto"/>
                      <w:sz w:val="21"/>
                      <w:szCs w:val="21"/>
                    </w:rPr>
                  </w:pPr>
                  <w:bookmarkStart w:id="25" w:name="_Toc27370"/>
                  <w:r>
                    <w:rPr>
                      <w:rFonts w:hint="eastAsia"/>
                      <w:color w:val="auto"/>
                      <w:sz w:val="21"/>
                      <w:szCs w:val="21"/>
                    </w:rPr>
                    <w:t>排放口类型</w:t>
                  </w:r>
                </w:p>
                <w:bookmarkEnd w:id="25"/>
              </w:tc>
              <w:tc>
                <w:tcPr>
                  <w:tcW w:w="3574" w:type="dxa"/>
                  <w:gridSpan w:val="2"/>
                  <w:tcBorders>
                    <w:tl2br w:val="nil"/>
                    <w:tr2bl w:val="nil"/>
                  </w:tcBorders>
                  <w:vAlign w:val="center"/>
                </w:tcPr>
                <w:p>
                  <w:pPr>
                    <w:jc w:val="center"/>
                    <w:rPr>
                      <w:color w:val="auto"/>
                      <w:sz w:val="21"/>
                      <w:szCs w:val="21"/>
                    </w:rPr>
                  </w:pPr>
                  <w:r>
                    <w:rPr>
                      <w:rFonts w:hint="eastAsia"/>
                      <w:color w:val="auto"/>
                      <w:sz w:val="21"/>
                      <w:szCs w:val="21"/>
                    </w:rPr>
                    <w:t>坐标</w:t>
                  </w:r>
                </w:p>
              </w:tc>
              <w:tc>
                <w:tcPr>
                  <w:tcW w:w="1374" w:type="dxa"/>
                  <w:gridSpan w:val="2"/>
                  <w:tcBorders>
                    <w:tl2br w:val="nil"/>
                    <w:tr2bl w:val="nil"/>
                  </w:tcBorders>
                  <w:vAlign w:val="center"/>
                </w:tcPr>
                <w:p>
                  <w:pPr>
                    <w:jc w:val="center"/>
                    <w:rPr>
                      <w:color w:val="auto"/>
                      <w:sz w:val="21"/>
                      <w:szCs w:val="21"/>
                    </w:rPr>
                  </w:pPr>
                  <w:bookmarkStart w:id="26" w:name="_Toc15869"/>
                  <w:r>
                    <w:rPr>
                      <w:rFonts w:hint="eastAsia"/>
                      <w:color w:val="auto"/>
                      <w:sz w:val="21"/>
                      <w:szCs w:val="21"/>
                    </w:rPr>
                    <w:t>排气筒情况</w:t>
                  </w:r>
                </w:p>
              </w:tc>
              <w:tc>
                <w:tcPr>
                  <w:tcW w:w="732" w:type="dxa"/>
                  <w:vMerge w:val="restart"/>
                  <w:tcBorders>
                    <w:tl2br w:val="nil"/>
                    <w:tr2bl w:val="nil"/>
                  </w:tcBorders>
                  <w:vAlign w:val="center"/>
                </w:tcPr>
                <w:p>
                  <w:pPr>
                    <w:jc w:val="center"/>
                    <w:rPr>
                      <w:color w:val="auto"/>
                      <w:sz w:val="21"/>
                      <w:szCs w:val="21"/>
                    </w:rPr>
                  </w:pPr>
                  <w:r>
                    <w:rPr>
                      <w:rFonts w:hint="eastAsia"/>
                      <w:color w:val="auto"/>
                      <w:sz w:val="21"/>
                      <w:szCs w:val="21"/>
                    </w:rPr>
                    <w:t>排气温度（℃）</w:t>
                  </w:r>
                </w:p>
                <w:bookmarkEnd w:id="26"/>
              </w:tc>
              <w:tc>
                <w:tcPr>
                  <w:tcW w:w="312" w:type="dxa"/>
                  <w:vMerge w:val="restart"/>
                  <w:tcBorders>
                    <w:tl2br w:val="nil"/>
                    <w:tr2bl w:val="nil"/>
                  </w:tcBorders>
                  <w:vAlign w:val="center"/>
                </w:tcPr>
                <w:p>
                  <w:pPr>
                    <w:jc w:val="center"/>
                    <w:rPr>
                      <w:color w:val="auto"/>
                      <w:sz w:val="21"/>
                      <w:szCs w:val="21"/>
                    </w:rPr>
                  </w:pPr>
                  <w:r>
                    <w:rPr>
                      <w:rFonts w:hint="eastAsia"/>
                      <w:color w:val="auto"/>
                      <w:sz w:val="21"/>
                      <w:szCs w:val="21"/>
                    </w:rPr>
                    <w:t>其他信息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51" w:type="dxa"/>
                  <w:bottom w:w="0" w:type="dxa"/>
                  <w:right w:w="51" w:type="dxa"/>
                </w:tblCellMar>
              </w:tblPrEx>
              <w:trPr>
                <w:trHeight w:val="331" w:hRule="atLeast"/>
                <w:jc w:val="center"/>
              </w:trPr>
              <w:tc>
                <w:tcPr>
                  <w:tcW w:w="312" w:type="dxa"/>
                  <w:vMerge w:val="continue"/>
                  <w:tcBorders>
                    <w:tl2br w:val="nil"/>
                    <w:tr2bl w:val="nil"/>
                  </w:tcBorders>
                  <w:vAlign w:val="center"/>
                </w:tcPr>
                <w:p>
                  <w:pPr>
                    <w:jc w:val="center"/>
                    <w:rPr>
                      <w:color w:val="auto"/>
                      <w:sz w:val="21"/>
                      <w:szCs w:val="21"/>
                    </w:rPr>
                  </w:pPr>
                </w:p>
              </w:tc>
              <w:tc>
                <w:tcPr>
                  <w:tcW w:w="721" w:type="dxa"/>
                  <w:vMerge w:val="continue"/>
                  <w:tcBorders>
                    <w:tl2br w:val="nil"/>
                    <w:tr2bl w:val="nil"/>
                  </w:tcBorders>
                  <w:vAlign w:val="center"/>
                </w:tcPr>
                <w:p>
                  <w:pPr>
                    <w:jc w:val="center"/>
                    <w:rPr>
                      <w:color w:val="auto"/>
                      <w:sz w:val="21"/>
                      <w:szCs w:val="21"/>
                    </w:rPr>
                  </w:pPr>
                </w:p>
              </w:tc>
              <w:tc>
                <w:tcPr>
                  <w:tcW w:w="675" w:type="dxa"/>
                  <w:vMerge w:val="continue"/>
                  <w:tcBorders>
                    <w:tl2br w:val="nil"/>
                    <w:tr2bl w:val="nil"/>
                  </w:tcBorders>
                  <w:vAlign w:val="center"/>
                </w:tcPr>
                <w:p>
                  <w:pPr>
                    <w:jc w:val="center"/>
                    <w:rPr>
                      <w:color w:val="auto"/>
                      <w:sz w:val="21"/>
                      <w:szCs w:val="21"/>
                    </w:rPr>
                  </w:pPr>
                </w:p>
              </w:tc>
              <w:tc>
                <w:tcPr>
                  <w:tcW w:w="312" w:type="dxa"/>
                  <w:vMerge w:val="continue"/>
                  <w:tcBorders>
                    <w:tl2br w:val="nil"/>
                    <w:tr2bl w:val="nil"/>
                  </w:tcBorders>
                  <w:vAlign w:val="center"/>
                </w:tcPr>
                <w:p>
                  <w:pPr>
                    <w:jc w:val="center"/>
                    <w:rPr>
                      <w:color w:val="auto"/>
                      <w:sz w:val="21"/>
                      <w:szCs w:val="21"/>
                    </w:rPr>
                  </w:pPr>
                </w:p>
              </w:tc>
              <w:tc>
                <w:tcPr>
                  <w:tcW w:w="415" w:type="dxa"/>
                  <w:vMerge w:val="continue"/>
                  <w:tcBorders>
                    <w:tl2br w:val="nil"/>
                    <w:tr2bl w:val="nil"/>
                  </w:tcBorders>
                  <w:vAlign w:val="center"/>
                </w:tcPr>
                <w:p>
                  <w:pPr>
                    <w:jc w:val="center"/>
                    <w:rPr>
                      <w:color w:val="auto"/>
                      <w:sz w:val="21"/>
                      <w:szCs w:val="21"/>
                    </w:rPr>
                  </w:pPr>
                  <w:bookmarkStart w:id="27" w:name="_Toc7666"/>
                </w:p>
                <w:bookmarkEnd w:id="27"/>
              </w:tc>
              <w:tc>
                <w:tcPr>
                  <w:tcW w:w="1834" w:type="dxa"/>
                  <w:tcBorders>
                    <w:tl2br w:val="nil"/>
                    <w:tr2bl w:val="nil"/>
                  </w:tcBorders>
                  <w:vAlign w:val="center"/>
                </w:tcPr>
                <w:p>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经度/（°）</w:t>
                  </w:r>
                </w:p>
              </w:tc>
              <w:tc>
                <w:tcPr>
                  <w:tcW w:w="1740" w:type="dxa"/>
                  <w:tcBorders>
                    <w:tl2br w:val="nil"/>
                    <w:tr2bl w:val="nil"/>
                  </w:tcBorders>
                  <w:vAlign w:val="center"/>
                </w:tcPr>
                <w:p>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纬度/（°）</w:t>
                  </w:r>
                </w:p>
              </w:tc>
              <w:tc>
                <w:tcPr>
                  <w:tcW w:w="686" w:type="dxa"/>
                  <w:tcBorders>
                    <w:tl2br w:val="nil"/>
                    <w:tr2bl w:val="nil"/>
                  </w:tcBorders>
                  <w:vAlign w:val="center"/>
                </w:tcPr>
                <w:p>
                  <w:pPr>
                    <w:jc w:val="center"/>
                    <w:rPr>
                      <w:color w:val="auto"/>
                      <w:sz w:val="21"/>
                      <w:szCs w:val="21"/>
                    </w:rPr>
                  </w:pPr>
                  <w:r>
                    <w:rPr>
                      <w:rFonts w:hint="eastAsia"/>
                      <w:color w:val="auto"/>
                      <w:sz w:val="21"/>
                      <w:szCs w:val="21"/>
                    </w:rPr>
                    <w:t>高度（m）</w:t>
                  </w:r>
                </w:p>
              </w:tc>
              <w:tc>
                <w:tcPr>
                  <w:tcW w:w="688" w:type="dxa"/>
                  <w:tcBorders>
                    <w:tl2br w:val="nil"/>
                    <w:tr2bl w:val="nil"/>
                  </w:tcBorders>
                  <w:vAlign w:val="center"/>
                </w:tcPr>
                <w:p>
                  <w:pPr>
                    <w:jc w:val="center"/>
                    <w:rPr>
                      <w:color w:val="auto"/>
                      <w:sz w:val="21"/>
                      <w:szCs w:val="21"/>
                    </w:rPr>
                  </w:pPr>
                  <w:r>
                    <w:rPr>
                      <w:rFonts w:hint="eastAsia"/>
                      <w:color w:val="auto"/>
                      <w:sz w:val="21"/>
                      <w:szCs w:val="21"/>
                    </w:rPr>
                    <w:t>内径（m）</w:t>
                  </w:r>
                </w:p>
              </w:tc>
              <w:tc>
                <w:tcPr>
                  <w:tcW w:w="732" w:type="dxa"/>
                  <w:vMerge w:val="continue"/>
                  <w:tcBorders>
                    <w:tl2br w:val="nil"/>
                    <w:tr2bl w:val="nil"/>
                  </w:tcBorders>
                  <w:vAlign w:val="center"/>
                </w:tcPr>
                <w:p>
                  <w:pPr>
                    <w:jc w:val="center"/>
                    <w:rPr>
                      <w:color w:val="auto"/>
                      <w:sz w:val="21"/>
                      <w:szCs w:val="21"/>
                    </w:rPr>
                  </w:pPr>
                </w:p>
              </w:tc>
              <w:tc>
                <w:tcPr>
                  <w:tcW w:w="312" w:type="dxa"/>
                  <w:vMerge w:val="continue"/>
                  <w:tcBorders>
                    <w:tl2br w:val="nil"/>
                    <w:tr2bl w:val="nil"/>
                  </w:tcBorders>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51" w:type="dxa"/>
                  <w:bottom w:w="0" w:type="dxa"/>
                  <w:right w:w="51" w:type="dxa"/>
                </w:tblCellMar>
              </w:tblPrEx>
              <w:trPr>
                <w:trHeight w:val="276" w:hRule="atLeast"/>
                <w:jc w:val="center"/>
              </w:trPr>
              <w:tc>
                <w:tcPr>
                  <w:tcW w:w="312" w:type="dxa"/>
                  <w:tcBorders>
                    <w:tl2br w:val="nil"/>
                    <w:tr2bl w:val="nil"/>
                  </w:tcBorders>
                  <w:vAlign w:val="center"/>
                </w:tcPr>
                <w:p>
                  <w:pPr>
                    <w:jc w:val="center"/>
                    <w:rPr>
                      <w:color w:val="auto"/>
                      <w:sz w:val="21"/>
                      <w:szCs w:val="21"/>
                    </w:rPr>
                  </w:pPr>
                  <w:r>
                    <w:rPr>
                      <w:rFonts w:hint="eastAsia"/>
                      <w:color w:val="auto"/>
                      <w:sz w:val="21"/>
                      <w:szCs w:val="21"/>
                    </w:rPr>
                    <w:t>导热油炉</w:t>
                  </w:r>
                </w:p>
              </w:tc>
              <w:tc>
                <w:tcPr>
                  <w:tcW w:w="721" w:type="dxa"/>
                  <w:tcBorders>
                    <w:tl2br w:val="nil"/>
                    <w:tr2bl w:val="nil"/>
                  </w:tcBorders>
                  <w:vAlign w:val="center"/>
                </w:tcPr>
                <w:p>
                  <w:pPr>
                    <w:jc w:val="center"/>
                    <w:rPr>
                      <w:color w:val="auto"/>
                      <w:sz w:val="21"/>
                      <w:szCs w:val="21"/>
                    </w:rPr>
                  </w:pPr>
                  <w:r>
                    <w:rPr>
                      <w:rFonts w:hint="eastAsia"/>
                      <w:color w:val="auto"/>
                      <w:sz w:val="21"/>
                      <w:szCs w:val="21"/>
                    </w:rPr>
                    <w:t>DA001</w:t>
                  </w:r>
                </w:p>
              </w:tc>
              <w:tc>
                <w:tcPr>
                  <w:tcW w:w="675" w:type="dxa"/>
                  <w:tcBorders>
                    <w:tl2br w:val="nil"/>
                    <w:tr2bl w:val="nil"/>
                  </w:tcBorders>
                  <w:vAlign w:val="center"/>
                </w:tcPr>
                <w:p>
                  <w:pPr>
                    <w:jc w:val="center"/>
                    <w:rPr>
                      <w:color w:val="auto"/>
                      <w:sz w:val="21"/>
                      <w:szCs w:val="21"/>
                    </w:rPr>
                  </w:pPr>
                  <w:r>
                    <w:rPr>
                      <w:rFonts w:hint="eastAsia"/>
                      <w:color w:val="auto"/>
                      <w:sz w:val="21"/>
                      <w:szCs w:val="21"/>
                    </w:rPr>
                    <w:t>颗粒物、二氧化硫、氮氧化物</w:t>
                  </w:r>
                </w:p>
              </w:tc>
              <w:tc>
                <w:tcPr>
                  <w:tcW w:w="312" w:type="dxa"/>
                  <w:tcBorders>
                    <w:tl2br w:val="nil"/>
                    <w:tr2bl w:val="nil"/>
                  </w:tcBorders>
                  <w:vAlign w:val="center"/>
                </w:tcPr>
                <w:p>
                  <w:pPr>
                    <w:jc w:val="center"/>
                    <w:rPr>
                      <w:color w:val="auto"/>
                      <w:sz w:val="21"/>
                      <w:szCs w:val="21"/>
                    </w:rPr>
                  </w:pPr>
                  <w:r>
                    <w:rPr>
                      <w:rFonts w:hint="eastAsia"/>
                      <w:color w:val="auto"/>
                      <w:sz w:val="21"/>
                      <w:szCs w:val="21"/>
                    </w:rPr>
                    <w:t>排气筒</w:t>
                  </w:r>
                </w:p>
              </w:tc>
              <w:tc>
                <w:tcPr>
                  <w:tcW w:w="415" w:type="dxa"/>
                  <w:tcBorders>
                    <w:tl2br w:val="nil"/>
                    <w:tr2bl w:val="nil"/>
                  </w:tcBorders>
                  <w:vAlign w:val="center"/>
                </w:tcPr>
                <w:p>
                  <w:pPr>
                    <w:jc w:val="center"/>
                    <w:rPr>
                      <w:color w:val="auto"/>
                      <w:sz w:val="21"/>
                      <w:szCs w:val="21"/>
                    </w:rPr>
                  </w:pPr>
                  <w:r>
                    <w:rPr>
                      <w:rFonts w:hint="eastAsia"/>
                      <w:color w:val="auto"/>
                      <w:sz w:val="21"/>
                      <w:szCs w:val="21"/>
                    </w:rPr>
                    <w:t>一般排放口</w:t>
                  </w:r>
                </w:p>
              </w:tc>
              <w:tc>
                <w:tcPr>
                  <w:tcW w:w="1834" w:type="dxa"/>
                  <w:tcBorders>
                    <w:tl2br w:val="nil"/>
                    <w:tr2bl w:val="nil"/>
                  </w:tcBorders>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130.02777457</w:t>
                  </w:r>
                </w:p>
              </w:tc>
              <w:tc>
                <w:tcPr>
                  <w:tcW w:w="1740" w:type="dxa"/>
                  <w:tcBorders>
                    <w:tl2br w:val="nil"/>
                    <w:tr2bl w:val="nil"/>
                  </w:tcBorders>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48.91507186</w:t>
                  </w:r>
                </w:p>
              </w:tc>
              <w:tc>
                <w:tcPr>
                  <w:tcW w:w="686" w:type="dxa"/>
                  <w:tcBorders>
                    <w:tl2br w:val="nil"/>
                    <w:tr2bl w:val="nil"/>
                  </w:tcBorders>
                  <w:shd w:val="clear" w:color="auto" w:fill="auto"/>
                  <w:vAlign w:val="center"/>
                </w:tcPr>
                <w:p>
                  <w:pPr>
                    <w:widowControl/>
                    <w:spacing w:line="300" w:lineRule="exact"/>
                    <w:jc w:val="center"/>
                    <w:textAlignment w:val="center"/>
                    <w:rPr>
                      <w:rFonts w:hint="default" w:eastAsia="宋体"/>
                      <w:color w:val="auto"/>
                      <w:sz w:val="21"/>
                      <w:szCs w:val="21"/>
                      <w:lang w:val="en-US" w:eastAsia="zh-CN" w:bidi="ar"/>
                    </w:rPr>
                  </w:pPr>
                  <w:r>
                    <w:rPr>
                      <w:rFonts w:hint="eastAsia"/>
                      <w:color w:val="auto"/>
                      <w:sz w:val="21"/>
                      <w:szCs w:val="21"/>
                      <w:lang w:val="en-US" w:eastAsia="zh-CN" w:bidi="ar"/>
                    </w:rPr>
                    <w:t>15</w:t>
                  </w:r>
                </w:p>
              </w:tc>
              <w:tc>
                <w:tcPr>
                  <w:tcW w:w="688" w:type="dxa"/>
                  <w:tcBorders>
                    <w:tl2br w:val="nil"/>
                    <w:tr2bl w:val="nil"/>
                  </w:tcBorders>
                  <w:shd w:val="clear" w:color="auto" w:fill="auto"/>
                  <w:vAlign w:val="center"/>
                </w:tcPr>
                <w:p>
                  <w:pPr>
                    <w:widowControl/>
                    <w:spacing w:line="300" w:lineRule="exact"/>
                    <w:jc w:val="center"/>
                    <w:textAlignment w:val="center"/>
                    <w:rPr>
                      <w:rFonts w:hint="eastAsia" w:eastAsia="宋体"/>
                      <w:color w:val="auto"/>
                      <w:sz w:val="21"/>
                      <w:szCs w:val="21"/>
                      <w:lang w:eastAsia="zh-CN" w:bidi="ar"/>
                    </w:rPr>
                  </w:pPr>
                  <w:r>
                    <w:rPr>
                      <w:rFonts w:hint="eastAsia"/>
                      <w:color w:val="auto"/>
                      <w:sz w:val="21"/>
                      <w:szCs w:val="21"/>
                      <w:lang w:bidi="ar"/>
                    </w:rPr>
                    <w:t>0.</w:t>
                  </w:r>
                  <w:r>
                    <w:rPr>
                      <w:rFonts w:hint="eastAsia"/>
                      <w:color w:val="auto"/>
                      <w:sz w:val="21"/>
                      <w:szCs w:val="21"/>
                      <w:lang w:val="en-US" w:eastAsia="zh-CN" w:bidi="ar"/>
                    </w:rPr>
                    <w:t>2</w:t>
                  </w:r>
                </w:p>
              </w:tc>
              <w:tc>
                <w:tcPr>
                  <w:tcW w:w="732" w:type="dxa"/>
                  <w:tcBorders>
                    <w:tl2br w:val="nil"/>
                    <w:tr2bl w:val="nil"/>
                  </w:tcBorders>
                  <w:vAlign w:val="center"/>
                </w:tcPr>
                <w:p>
                  <w:pPr>
                    <w:jc w:val="center"/>
                    <w:rPr>
                      <w:color w:val="auto"/>
                      <w:sz w:val="21"/>
                      <w:szCs w:val="21"/>
                    </w:rPr>
                  </w:pPr>
                  <w:r>
                    <w:rPr>
                      <w:rFonts w:hint="eastAsia"/>
                      <w:color w:val="auto"/>
                      <w:sz w:val="21"/>
                      <w:szCs w:val="21"/>
                    </w:rPr>
                    <w:t>120</w:t>
                  </w:r>
                </w:p>
              </w:tc>
              <w:tc>
                <w:tcPr>
                  <w:tcW w:w="312" w:type="dxa"/>
                  <w:tcBorders>
                    <w:tl2br w:val="nil"/>
                    <w:tr2bl w:val="nil"/>
                  </w:tcBorders>
                  <w:vAlign w:val="center"/>
                </w:tcPr>
                <w:p>
                  <w:pPr>
                    <w:jc w:val="center"/>
                    <w:rPr>
                      <w:color w:val="auto"/>
                      <w:sz w:val="21"/>
                      <w:szCs w:val="21"/>
                    </w:rPr>
                  </w:pPr>
                  <w:r>
                    <w:rPr>
                      <w:rFonts w:hint="eastAsia"/>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51" w:type="dxa"/>
                  <w:bottom w:w="0" w:type="dxa"/>
                  <w:right w:w="51" w:type="dxa"/>
                </w:tblCellMar>
              </w:tblPrEx>
              <w:trPr>
                <w:trHeight w:val="2451" w:hRule="atLeast"/>
                <w:jc w:val="center"/>
              </w:trPr>
              <w:tc>
                <w:tcPr>
                  <w:tcW w:w="312" w:type="dxa"/>
                  <w:vMerge w:val="restart"/>
                  <w:tcBorders>
                    <w:tl2br w:val="nil"/>
                    <w:tr2bl w:val="nil"/>
                  </w:tcBorders>
                  <w:shd w:val="clear" w:color="auto" w:fill="auto"/>
                  <w:vAlign w:val="center"/>
                </w:tcPr>
                <w:p>
                  <w:pPr>
                    <w:jc w:val="center"/>
                    <w:rPr>
                      <w:color w:val="auto"/>
                      <w:sz w:val="21"/>
                      <w:szCs w:val="21"/>
                    </w:rPr>
                  </w:pPr>
                  <w:r>
                    <w:rPr>
                      <w:rFonts w:hint="eastAsia"/>
                      <w:color w:val="auto"/>
                      <w:sz w:val="21"/>
                      <w:szCs w:val="21"/>
                    </w:rPr>
                    <w:t>沥青站</w:t>
                  </w:r>
                </w:p>
              </w:tc>
              <w:tc>
                <w:tcPr>
                  <w:tcW w:w="721" w:type="dxa"/>
                  <w:tcBorders>
                    <w:tl2br w:val="nil"/>
                    <w:tr2bl w:val="nil"/>
                  </w:tcBorders>
                  <w:shd w:val="clear" w:color="auto" w:fill="auto"/>
                  <w:vAlign w:val="center"/>
                </w:tcPr>
                <w:p>
                  <w:pPr>
                    <w:jc w:val="center"/>
                    <w:rPr>
                      <w:color w:val="auto"/>
                      <w:sz w:val="21"/>
                      <w:szCs w:val="21"/>
                    </w:rPr>
                  </w:pPr>
                  <w:r>
                    <w:rPr>
                      <w:rFonts w:hint="eastAsia"/>
                      <w:color w:val="auto"/>
                      <w:sz w:val="21"/>
                      <w:szCs w:val="21"/>
                    </w:rPr>
                    <w:t>DA002</w:t>
                  </w:r>
                </w:p>
              </w:tc>
              <w:tc>
                <w:tcPr>
                  <w:tcW w:w="675" w:type="dxa"/>
                  <w:tcBorders>
                    <w:tl2br w:val="nil"/>
                    <w:tr2bl w:val="nil"/>
                  </w:tcBorders>
                  <w:shd w:val="clear" w:color="auto" w:fill="auto"/>
                  <w:vAlign w:val="center"/>
                </w:tcPr>
                <w:p>
                  <w:pPr>
                    <w:jc w:val="center"/>
                    <w:rPr>
                      <w:color w:val="auto"/>
                      <w:sz w:val="21"/>
                      <w:szCs w:val="21"/>
                    </w:rPr>
                  </w:pPr>
                  <w:r>
                    <w:rPr>
                      <w:rFonts w:hint="eastAsia"/>
                      <w:color w:val="auto"/>
                      <w:sz w:val="21"/>
                      <w:szCs w:val="21"/>
                    </w:rPr>
                    <w:t>颗粒物、二氧化硫、氮氧化物、</w:t>
                  </w:r>
                </w:p>
              </w:tc>
              <w:tc>
                <w:tcPr>
                  <w:tcW w:w="312" w:type="dxa"/>
                  <w:tcBorders>
                    <w:tl2br w:val="nil"/>
                    <w:tr2bl w:val="nil"/>
                  </w:tcBorders>
                  <w:shd w:val="clear" w:color="auto" w:fill="auto"/>
                  <w:vAlign w:val="center"/>
                </w:tcPr>
                <w:p>
                  <w:pPr>
                    <w:jc w:val="center"/>
                    <w:rPr>
                      <w:color w:val="auto"/>
                      <w:sz w:val="21"/>
                      <w:szCs w:val="21"/>
                    </w:rPr>
                  </w:pPr>
                  <w:r>
                    <w:rPr>
                      <w:rFonts w:hint="eastAsia"/>
                      <w:color w:val="auto"/>
                      <w:sz w:val="21"/>
                      <w:szCs w:val="21"/>
                    </w:rPr>
                    <w:t>排气筒</w:t>
                  </w:r>
                </w:p>
              </w:tc>
              <w:tc>
                <w:tcPr>
                  <w:tcW w:w="415" w:type="dxa"/>
                  <w:tcBorders>
                    <w:tl2br w:val="nil"/>
                    <w:tr2bl w:val="nil"/>
                  </w:tcBorders>
                  <w:shd w:val="clear" w:color="auto" w:fill="auto"/>
                  <w:vAlign w:val="center"/>
                </w:tcPr>
                <w:p>
                  <w:pPr>
                    <w:jc w:val="center"/>
                    <w:rPr>
                      <w:color w:val="auto"/>
                      <w:sz w:val="21"/>
                      <w:szCs w:val="21"/>
                    </w:rPr>
                  </w:pPr>
                  <w:r>
                    <w:rPr>
                      <w:rFonts w:hint="eastAsia"/>
                      <w:color w:val="auto"/>
                      <w:sz w:val="21"/>
                      <w:szCs w:val="21"/>
                    </w:rPr>
                    <w:t>一般排放口</w:t>
                  </w:r>
                </w:p>
              </w:tc>
              <w:tc>
                <w:tcPr>
                  <w:tcW w:w="1834" w:type="dxa"/>
                  <w:tcBorders>
                    <w:tl2br w:val="nil"/>
                    <w:tr2bl w:val="nil"/>
                  </w:tcBorders>
                  <w:shd w:val="clear" w:color="auto" w:fill="auto"/>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130.02780676</w:t>
                  </w:r>
                </w:p>
              </w:tc>
              <w:tc>
                <w:tcPr>
                  <w:tcW w:w="1740" w:type="dxa"/>
                  <w:tcBorders>
                    <w:tl2br w:val="nil"/>
                    <w:tr2bl w:val="nil"/>
                  </w:tcBorders>
                  <w:shd w:val="clear" w:color="auto" w:fill="auto"/>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48.91532921</w:t>
                  </w:r>
                </w:p>
              </w:tc>
              <w:tc>
                <w:tcPr>
                  <w:tcW w:w="686" w:type="dxa"/>
                  <w:tcBorders>
                    <w:tl2br w:val="nil"/>
                    <w:tr2bl w:val="nil"/>
                  </w:tcBorders>
                  <w:shd w:val="clear" w:color="auto" w:fill="auto"/>
                  <w:vAlign w:val="center"/>
                </w:tcPr>
                <w:p>
                  <w:pPr>
                    <w:widowControl/>
                    <w:spacing w:line="300" w:lineRule="exact"/>
                    <w:jc w:val="center"/>
                    <w:textAlignment w:val="center"/>
                    <w:rPr>
                      <w:rFonts w:hint="default" w:eastAsia="宋体"/>
                      <w:color w:val="auto"/>
                      <w:sz w:val="21"/>
                      <w:szCs w:val="21"/>
                      <w:lang w:val="en-US" w:eastAsia="zh-CN" w:bidi="ar"/>
                    </w:rPr>
                  </w:pPr>
                  <w:r>
                    <w:rPr>
                      <w:rFonts w:hint="eastAsia"/>
                      <w:color w:val="auto"/>
                      <w:sz w:val="21"/>
                      <w:szCs w:val="21"/>
                      <w:lang w:val="en-US" w:eastAsia="zh-CN" w:bidi="ar"/>
                    </w:rPr>
                    <w:t>15</w:t>
                  </w:r>
                </w:p>
              </w:tc>
              <w:tc>
                <w:tcPr>
                  <w:tcW w:w="688" w:type="dxa"/>
                  <w:tcBorders>
                    <w:tl2br w:val="nil"/>
                    <w:tr2bl w:val="nil"/>
                  </w:tcBorders>
                  <w:shd w:val="clear" w:color="auto" w:fill="auto"/>
                  <w:vAlign w:val="center"/>
                </w:tcPr>
                <w:p>
                  <w:pPr>
                    <w:widowControl/>
                    <w:spacing w:line="300" w:lineRule="exact"/>
                    <w:jc w:val="center"/>
                    <w:textAlignment w:val="center"/>
                    <w:rPr>
                      <w:rFonts w:hint="eastAsia" w:eastAsia="宋体"/>
                      <w:color w:val="auto"/>
                      <w:sz w:val="21"/>
                      <w:szCs w:val="21"/>
                      <w:lang w:val="en-US" w:eastAsia="zh-CN" w:bidi="ar"/>
                    </w:rPr>
                  </w:pPr>
                  <w:r>
                    <w:rPr>
                      <w:rFonts w:hint="eastAsia"/>
                      <w:color w:val="auto"/>
                      <w:sz w:val="21"/>
                      <w:szCs w:val="21"/>
                      <w:lang w:bidi="ar"/>
                    </w:rPr>
                    <w:t>0.</w:t>
                  </w:r>
                  <w:r>
                    <w:rPr>
                      <w:rFonts w:hint="eastAsia"/>
                      <w:color w:val="auto"/>
                      <w:sz w:val="21"/>
                      <w:szCs w:val="21"/>
                      <w:lang w:val="en-US" w:eastAsia="zh-CN" w:bidi="ar"/>
                    </w:rPr>
                    <w:t>4</w:t>
                  </w:r>
                </w:p>
              </w:tc>
              <w:tc>
                <w:tcPr>
                  <w:tcW w:w="732" w:type="dxa"/>
                  <w:tcBorders>
                    <w:tl2br w:val="nil"/>
                    <w:tr2bl w:val="nil"/>
                  </w:tcBorders>
                  <w:shd w:val="clear" w:color="auto" w:fill="auto"/>
                  <w:vAlign w:val="center"/>
                </w:tcPr>
                <w:p>
                  <w:pPr>
                    <w:jc w:val="center"/>
                    <w:rPr>
                      <w:color w:val="auto"/>
                      <w:sz w:val="21"/>
                      <w:szCs w:val="21"/>
                    </w:rPr>
                  </w:pPr>
                  <w:r>
                    <w:rPr>
                      <w:rFonts w:hint="eastAsia"/>
                      <w:color w:val="auto"/>
                      <w:sz w:val="21"/>
                      <w:szCs w:val="21"/>
                    </w:rPr>
                    <w:t>80</w:t>
                  </w:r>
                </w:p>
              </w:tc>
              <w:tc>
                <w:tcPr>
                  <w:tcW w:w="312" w:type="dxa"/>
                  <w:tcBorders>
                    <w:tl2br w:val="nil"/>
                    <w:tr2bl w:val="nil"/>
                  </w:tcBorders>
                  <w:shd w:val="clear" w:color="auto" w:fill="auto"/>
                  <w:vAlign w:val="center"/>
                </w:tcPr>
                <w:p>
                  <w:pPr>
                    <w:jc w:val="center"/>
                    <w:rPr>
                      <w:color w:val="auto"/>
                      <w:sz w:val="21"/>
                      <w:szCs w:val="21"/>
                    </w:rPr>
                  </w:pPr>
                  <w:r>
                    <w:rPr>
                      <w:rFonts w:hint="eastAsia"/>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51" w:type="dxa"/>
                  <w:bottom w:w="0" w:type="dxa"/>
                  <w:right w:w="51" w:type="dxa"/>
                </w:tblCellMar>
              </w:tblPrEx>
              <w:trPr>
                <w:trHeight w:val="276" w:hRule="atLeast"/>
                <w:jc w:val="center"/>
              </w:trPr>
              <w:tc>
                <w:tcPr>
                  <w:tcW w:w="312" w:type="dxa"/>
                  <w:vMerge w:val="continue"/>
                  <w:tcBorders>
                    <w:tl2br w:val="nil"/>
                    <w:tr2bl w:val="nil"/>
                  </w:tcBorders>
                  <w:shd w:val="clear" w:color="auto" w:fill="auto"/>
                  <w:vAlign w:val="center"/>
                </w:tcPr>
                <w:p>
                  <w:pPr>
                    <w:jc w:val="center"/>
                    <w:rPr>
                      <w:color w:val="auto"/>
                      <w:sz w:val="21"/>
                      <w:szCs w:val="21"/>
                    </w:rPr>
                  </w:pPr>
                </w:p>
              </w:tc>
              <w:tc>
                <w:tcPr>
                  <w:tcW w:w="721" w:type="dxa"/>
                  <w:tcBorders>
                    <w:tl2br w:val="nil"/>
                    <w:tr2bl w:val="nil"/>
                  </w:tcBorders>
                  <w:shd w:val="clear" w:color="auto" w:fill="auto"/>
                  <w:vAlign w:val="center"/>
                </w:tcPr>
                <w:p>
                  <w:pPr>
                    <w:jc w:val="center"/>
                    <w:rPr>
                      <w:color w:val="auto"/>
                      <w:sz w:val="21"/>
                      <w:szCs w:val="21"/>
                    </w:rPr>
                  </w:pPr>
                  <w:r>
                    <w:rPr>
                      <w:rFonts w:hint="eastAsia"/>
                      <w:color w:val="auto"/>
                      <w:sz w:val="21"/>
                      <w:szCs w:val="21"/>
                    </w:rPr>
                    <w:t>DA003</w:t>
                  </w:r>
                </w:p>
              </w:tc>
              <w:tc>
                <w:tcPr>
                  <w:tcW w:w="675" w:type="dxa"/>
                  <w:tcBorders>
                    <w:tl2br w:val="nil"/>
                    <w:tr2bl w:val="nil"/>
                  </w:tcBorders>
                  <w:shd w:val="clear" w:color="auto" w:fill="auto"/>
                  <w:vAlign w:val="center"/>
                </w:tcPr>
                <w:p>
                  <w:pPr>
                    <w:jc w:val="center"/>
                    <w:rPr>
                      <w:color w:val="auto"/>
                      <w:sz w:val="21"/>
                      <w:szCs w:val="21"/>
                    </w:rPr>
                  </w:pPr>
                  <w:r>
                    <w:rPr>
                      <w:rFonts w:hint="eastAsia"/>
                      <w:color w:val="auto"/>
                      <w:sz w:val="21"/>
                      <w:szCs w:val="21"/>
                    </w:rPr>
                    <w:t>沥青烟、苯并[a]芘</w:t>
                  </w:r>
                </w:p>
              </w:tc>
              <w:tc>
                <w:tcPr>
                  <w:tcW w:w="312" w:type="dxa"/>
                  <w:tcBorders>
                    <w:tl2br w:val="nil"/>
                    <w:tr2bl w:val="nil"/>
                  </w:tcBorders>
                  <w:shd w:val="clear" w:color="auto" w:fill="auto"/>
                  <w:vAlign w:val="center"/>
                </w:tcPr>
                <w:p>
                  <w:pPr>
                    <w:jc w:val="center"/>
                    <w:rPr>
                      <w:color w:val="auto"/>
                      <w:sz w:val="21"/>
                      <w:szCs w:val="21"/>
                    </w:rPr>
                  </w:pPr>
                  <w:r>
                    <w:rPr>
                      <w:rFonts w:hint="eastAsia"/>
                      <w:color w:val="auto"/>
                      <w:sz w:val="21"/>
                      <w:szCs w:val="21"/>
                    </w:rPr>
                    <w:t>排气筒</w:t>
                  </w:r>
                </w:p>
              </w:tc>
              <w:tc>
                <w:tcPr>
                  <w:tcW w:w="415" w:type="dxa"/>
                  <w:tcBorders>
                    <w:tl2br w:val="nil"/>
                    <w:tr2bl w:val="nil"/>
                  </w:tcBorders>
                  <w:shd w:val="clear" w:color="auto" w:fill="auto"/>
                  <w:vAlign w:val="center"/>
                </w:tcPr>
                <w:p>
                  <w:pPr>
                    <w:jc w:val="center"/>
                    <w:rPr>
                      <w:color w:val="auto"/>
                      <w:sz w:val="21"/>
                      <w:szCs w:val="21"/>
                    </w:rPr>
                  </w:pPr>
                  <w:r>
                    <w:rPr>
                      <w:rFonts w:hint="eastAsia"/>
                      <w:color w:val="auto"/>
                      <w:sz w:val="21"/>
                      <w:szCs w:val="21"/>
                    </w:rPr>
                    <w:t>一般排放口</w:t>
                  </w:r>
                </w:p>
              </w:tc>
              <w:tc>
                <w:tcPr>
                  <w:tcW w:w="1834" w:type="dxa"/>
                  <w:tcBorders>
                    <w:tl2br w:val="nil"/>
                    <w:tr2bl w:val="nil"/>
                  </w:tcBorders>
                  <w:shd w:val="clear" w:color="auto" w:fill="auto"/>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130.02818763</w:t>
                  </w:r>
                </w:p>
              </w:tc>
              <w:tc>
                <w:tcPr>
                  <w:tcW w:w="1740" w:type="dxa"/>
                  <w:tcBorders>
                    <w:tl2br w:val="nil"/>
                    <w:tr2bl w:val="nil"/>
                  </w:tcBorders>
                  <w:shd w:val="clear" w:color="auto" w:fill="auto"/>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48.91511064</w:t>
                  </w:r>
                </w:p>
              </w:tc>
              <w:tc>
                <w:tcPr>
                  <w:tcW w:w="686" w:type="dxa"/>
                  <w:tcBorders>
                    <w:tl2br w:val="nil"/>
                    <w:tr2bl w:val="nil"/>
                  </w:tcBorders>
                  <w:shd w:val="clear" w:color="auto" w:fill="auto"/>
                  <w:vAlign w:val="center"/>
                </w:tcPr>
                <w:p>
                  <w:pPr>
                    <w:widowControl/>
                    <w:spacing w:line="300" w:lineRule="exact"/>
                    <w:jc w:val="center"/>
                    <w:textAlignment w:val="center"/>
                    <w:rPr>
                      <w:rFonts w:hint="default" w:eastAsia="宋体"/>
                      <w:color w:val="auto"/>
                      <w:sz w:val="21"/>
                      <w:szCs w:val="21"/>
                      <w:lang w:val="en-US" w:eastAsia="zh-CN" w:bidi="ar"/>
                    </w:rPr>
                  </w:pPr>
                  <w:r>
                    <w:rPr>
                      <w:rFonts w:hint="eastAsia"/>
                      <w:color w:val="auto"/>
                      <w:sz w:val="21"/>
                      <w:szCs w:val="21"/>
                      <w:lang w:val="en-US" w:eastAsia="zh-CN" w:bidi="ar"/>
                    </w:rPr>
                    <w:t>15</w:t>
                  </w:r>
                </w:p>
              </w:tc>
              <w:tc>
                <w:tcPr>
                  <w:tcW w:w="688" w:type="dxa"/>
                  <w:tcBorders>
                    <w:tl2br w:val="nil"/>
                    <w:tr2bl w:val="nil"/>
                  </w:tcBorders>
                  <w:shd w:val="clear" w:color="auto" w:fill="auto"/>
                  <w:vAlign w:val="center"/>
                </w:tcPr>
                <w:p>
                  <w:pPr>
                    <w:widowControl/>
                    <w:spacing w:line="300" w:lineRule="exact"/>
                    <w:jc w:val="center"/>
                    <w:textAlignment w:val="center"/>
                    <w:rPr>
                      <w:rFonts w:hint="eastAsia" w:eastAsia="宋体"/>
                      <w:color w:val="auto"/>
                      <w:sz w:val="21"/>
                      <w:szCs w:val="21"/>
                      <w:lang w:val="en-US" w:eastAsia="zh-CN" w:bidi="ar"/>
                    </w:rPr>
                  </w:pPr>
                  <w:r>
                    <w:rPr>
                      <w:rFonts w:hint="eastAsia"/>
                      <w:color w:val="auto"/>
                      <w:sz w:val="21"/>
                      <w:szCs w:val="21"/>
                      <w:lang w:bidi="ar"/>
                    </w:rPr>
                    <w:t>0.</w:t>
                  </w:r>
                  <w:r>
                    <w:rPr>
                      <w:rFonts w:hint="eastAsia"/>
                      <w:color w:val="auto"/>
                      <w:sz w:val="21"/>
                      <w:szCs w:val="21"/>
                      <w:lang w:val="en-US" w:eastAsia="zh-CN" w:bidi="ar"/>
                    </w:rPr>
                    <w:t>4</w:t>
                  </w:r>
                </w:p>
              </w:tc>
              <w:tc>
                <w:tcPr>
                  <w:tcW w:w="732" w:type="dxa"/>
                  <w:tcBorders>
                    <w:tl2br w:val="nil"/>
                    <w:tr2bl w:val="nil"/>
                  </w:tcBorders>
                  <w:shd w:val="clear" w:color="auto" w:fill="auto"/>
                  <w:vAlign w:val="center"/>
                </w:tcPr>
                <w:p>
                  <w:pPr>
                    <w:jc w:val="center"/>
                    <w:rPr>
                      <w:color w:val="auto"/>
                      <w:sz w:val="21"/>
                      <w:szCs w:val="21"/>
                    </w:rPr>
                  </w:pPr>
                  <w:r>
                    <w:rPr>
                      <w:rFonts w:hint="eastAsia"/>
                      <w:color w:val="auto"/>
                      <w:sz w:val="21"/>
                      <w:szCs w:val="21"/>
                    </w:rPr>
                    <w:t>80</w:t>
                  </w:r>
                </w:p>
              </w:tc>
              <w:tc>
                <w:tcPr>
                  <w:tcW w:w="312" w:type="dxa"/>
                  <w:tcBorders>
                    <w:tl2br w:val="nil"/>
                    <w:tr2bl w:val="nil"/>
                  </w:tcBorders>
                  <w:shd w:val="clear" w:color="auto" w:fill="auto"/>
                  <w:vAlign w:val="center"/>
                </w:tcPr>
                <w:p>
                  <w:pPr>
                    <w:jc w:val="center"/>
                    <w:rPr>
                      <w:color w:val="auto"/>
                      <w:sz w:val="21"/>
                      <w:szCs w:val="21"/>
                    </w:rPr>
                  </w:pPr>
                  <w:r>
                    <w:rPr>
                      <w:rFonts w:hint="eastAsia"/>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51" w:type="dxa"/>
                  <w:bottom w:w="0" w:type="dxa"/>
                  <w:right w:w="51" w:type="dxa"/>
                </w:tblCellMar>
              </w:tblPrEx>
              <w:trPr>
                <w:trHeight w:val="276" w:hRule="atLeast"/>
                <w:jc w:val="center"/>
              </w:trPr>
              <w:tc>
                <w:tcPr>
                  <w:tcW w:w="312" w:type="dxa"/>
                  <w:vMerge w:val="continue"/>
                  <w:tcBorders>
                    <w:tl2br w:val="nil"/>
                    <w:tr2bl w:val="nil"/>
                  </w:tcBorders>
                  <w:shd w:val="clear" w:color="auto" w:fill="auto"/>
                  <w:vAlign w:val="center"/>
                </w:tcPr>
                <w:p>
                  <w:pPr>
                    <w:jc w:val="center"/>
                    <w:rPr>
                      <w:color w:val="auto"/>
                      <w:sz w:val="21"/>
                      <w:szCs w:val="21"/>
                    </w:rPr>
                  </w:pPr>
                </w:p>
              </w:tc>
              <w:tc>
                <w:tcPr>
                  <w:tcW w:w="721" w:type="dxa"/>
                  <w:tcBorders>
                    <w:tl2br w:val="nil"/>
                    <w:tr2bl w:val="nil"/>
                  </w:tcBorders>
                  <w:shd w:val="clear" w:color="auto" w:fill="auto"/>
                  <w:vAlign w:val="center"/>
                </w:tcPr>
                <w:p>
                  <w:pPr>
                    <w:jc w:val="center"/>
                    <w:rPr>
                      <w:rFonts w:hint="default" w:eastAsia="宋体"/>
                      <w:color w:val="auto"/>
                      <w:sz w:val="21"/>
                      <w:szCs w:val="21"/>
                      <w:lang w:val="en-US" w:eastAsia="zh-CN"/>
                    </w:rPr>
                  </w:pPr>
                  <w:r>
                    <w:rPr>
                      <w:rFonts w:hint="eastAsia"/>
                      <w:color w:val="auto"/>
                      <w:sz w:val="21"/>
                      <w:szCs w:val="21"/>
                      <w:lang w:val="en-US" w:eastAsia="zh-CN"/>
                    </w:rPr>
                    <w:t>DA004</w:t>
                  </w:r>
                </w:p>
              </w:tc>
              <w:tc>
                <w:tcPr>
                  <w:tcW w:w="675" w:type="dxa"/>
                  <w:tcBorders>
                    <w:tl2br w:val="nil"/>
                    <w:tr2bl w:val="nil"/>
                  </w:tcBorders>
                  <w:shd w:val="clear" w:color="auto" w:fill="auto"/>
                  <w:vAlign w:val="center"/>
                </w:tcPr>
                <w:p>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312" w:type="dxa"/>
                  <w:tcBorders>
                    <w:tl2br w:val="nil"/>
                    <w:tr2bl w:val="nil"/>
                  </w:tcBorders>
                  <w:shd w:val="clear" w:color="auto" w:fill="auto"/>
                  <w:vAlign w:val="center"/>
                </w:tcPr>
                <w:p>
                  <w:pPr>
                    <w:jc w:val="center"/>
                    <w:rPr>
                      <w:rFonts w:hint="eastAsia" w:eastAsia="宋体"/>
                      <w:color w:val="auto"/>
                      <w:sz w:val="21"/>
                      <w:szCs w:val="21"/>
                      <w:lang w:val="en-US" w:eastAsia="zh-CN"/>
                    </w:rPr>
                  </w:pPr>
                  <w:r>
                    <w:rPr>
                      <w:rFonts w:hint="eastAsia"/>
                      <w:color w:val="auto"/>
                      <w:sz w:val="21"/>
                      <w:szCs w:val="21"/>
                      <w:lang w:val="en-US" w:eastAsia="zh-CN"/>
                    </w:rPr>
                    <w:t>排气筒</w:t>
                  </w:r>
                </w:p>
              </w:tc>
              <w:tc>
                <w:tcPr>
                  <w:tcW w:w="415"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一般排放口</w:t>
                  </w:r>
                </w:p>
              </w:tc>
              <w:tc>
                <w:tcPr>
                  <w:tcW w:w="1834" w:type="dxa"/>
                  <w:tcBorders>
                    <w:tl2br w:val="nil"/>
                    <w:tr2bl w:val="nil"/>
                  </w:tcBorders>
                  <w:shd w:val="clear" w:color="auto" w:fill="auto"/>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130.02781212</w:t>
                  </w:r>
                </w:p>
              </w:tc>
              <w:tc>
                <w:tcPr>
                  <w:tcW w:w="1740" w:type="dxa"/>
                  <w:tcBorders>
                    <w:tl2br w:val="nil"/>
                    <w:tr2bl w:val="nil"/>
                  </w:tcBorders>
                  <w:shd w:val="clear" w:color="auto" w:fill="auto"/>
                  <w:vAlign w:val="center"/>
                </w:tcPr>
                <w:p>
                  <w:pPr>
                    <w:widowControl/>
                    <w:spacing w:line="300" w:lineRule="exact"/>
                    <w:jc w:val="center"/>
                    <w:textAlignment w:val="center"/>
                    <w:rPr>
                      <w:rFonts w:hint="eastAsia"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48.91504013</w:t>
                  </w:r>
                </w:p>
              </w:tc>
              <w:tc>
                <w:tcPr>
                  <w:tcW w:w="686" w:type="dxa"/>
                  <w:tcBorders>
                    <w:tl2br w:val="nil"/>
                    <w:tr2bl w:val="nil"/>
                  </w:tcBorders>
                  <w:shd w:val="clear" w:color="auto" w:fill="auto"/>
                  <w:vAlign w:val="center"/>
                </w:tcPr>
                <w:p>
                  <w:pPr>
                    <w:widowControl/>
                    <w:spacing w:line="300" w:lineRule="exact"/>
                    <w:jc w:val="center"/>
                    <w:textAlignment w:val="center"/>
                    <w:rPr>
                      <w:rFonts w:hint="default" w:eastAsia="宋体"/>
                      <w:color w:val="auto"/>
                      <w:sz w:val="21"/>
                      <w:szCs w:val="21"/>
                      <w:lang w:val="en-US" w:eastAsia="zh-CN" w:bidi="ar"/>
                    </w:rPr>
                  </w:pPr>
                  <w:r>
                    <w:rPr>
                      <w:rFonts w:hint="eastAsia"/>
                      <w:color w:val="auto"/>
                      <w:sz w:val="21"/>
                      <w:szCs w:val="21"/>
                      <w:lang w:val="en-US" w:eastAsia="zh-CN" w:bidi="ar"/>
                    </w:rPr>
                    <w:t>15</w:t>
                  </w:r>
                </w:p>
              </w:tc>
              <w:tc>
                <w:tcPr>
                  <w:tcW w:w="688" w:type="dxa"/>
                  <w:tcBorders>
                    <w:tl2br w:val="nil"/>
                    <w:tr2bl w:val="nil"/>
                  </w:tcBorders>
                  <w:shd w:val="clear" w:color="auto" w:fill="auto"/>
                  <w:vAlign w:val="center"/>
                </w:tcPr>
                <w:p>
                  <w:pPr>
                    <w:widowControl/>
                    <w:spacing w:line="300" w:lineRule="exact"/>
                    <w:jc w:val="center"/>
                    <w:textAlignment w:val="center"/>
                    <w:rPr>
                      <w:rFonts w:hint="default" w:eastAsia="宋体"/>
                      <w:color w:val="auto"/>
                      <w:sz w:val="21"/>
                      <w:szCs w:val="21"/>
                      <w:lang w:val="en-US" w:eastAsia="zh-CN" w:bidi="ar"/>
                    </w:rPr>
                  </w:pPr>
                  <w:r>
                    <w:rPr>
                      <w:rFonts w:hint="eastAsia"/>
                      <w:color w:val="auto"/>
                      <w:sz w:val="21"/>
                      <w:szCs w:val="21"/>
                      <w:lang w:val="en-US" w:eastAsia="zh-CN" w:bidi="ar"/>
                    </w:rPr>
                    <w:t>0.4</w:t>
                  </w:r>
                </w:p>
              </w:tc>
              <w:tc>
                <w:tcPr>
                  <w:tcW w:w="732" w:type="dxa"/>
                  <w:tcBorders>
                    <w:tl2br w:val="nil"/>
                    <w:tr2bl w:val="nil"/>
                  </w:tcBorders>
                  <w:shd w:val="clear" w:color="auto" w:fill="auto"/>
                  <w:vAlign w:val="center"/>
                </w:tcPr>
                <w:p>
                  <w:pPr>
                    <w:jc w:val="center"/>
                    <w:rPr>
                      <w:rFonts w:hint="default" w:eastAsia="宋体"/>
                      <w:color w:val="auto"/>
                      <w:sz w:val="21"/>
                      <w:szCs w:val="21"/>
                      <w:lang w:val="en-US" w:eastAsia="zh-CN"/>
                    </w:rPr>
                  </w:pPr>
                  <w:r>
                    <w:rPr>
                      <w:rFonts w:hint="eastAsia"/>
                      <w:color w:val="auto"/>
                      <w:sz w:val="21"/>
                      <w:szCs w:val="21"/>
                      <w:lang w:val="en-US" w:eastAsia="zh-CN"/>
                    </w:rPr>
                    <w:t>常温</w:t>
                  </w:r>
                </w:p>
              </w:tc>
              <w:tc>
                <w:tcPr>
                  <w:tcW w:w="312"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新建</w:t>
                  </w:r>
                </w:p>
              </w:tc>
            </w:tr>
          </w:tbl>
          <w:p>
            <w:pPr>
              <w:adjustRightInd w:val="0"/>
              <w:snapToGrid w:val="0"/>
              <w:spacing w:line="360" w:lineRule="auto"/>
              <w:ind w:firstLine="480" w:firstLineChars="200"/>
              <w:rPr>
                <w:color w:val="auto"/>
              </w:rPr>
            </w:pPr>
            <w:r>
              <w:rPr>
                <w:rFonts w:hint="eastAsia"/>
                <w:color w:val="auto"/>
              </w:rPr>
              <w:t>（2）非正常工况排放</w:t>
            </w:r>
          </w:p>
          <w:p>
            <w:pPr>
              <w:adjustRightInd w:val="0"/>
              <w:snapToGrid w:val="0"/>
              <w:spacing w:line="360" w:lineRule="auto"/>
              <w:ind w:firstLine="480" w:firstLineChars="200"/>
              <w:rPr>
                <w:color w:val="auto"/>
              </w:rPr>
            </w:pPr>
            <w:r>
              <w:rPr>
                <w:rFonts w:hint="eastAsia"/>
                <w:color w:val="auto"/>
              </w:rPr>
              <w:t>本项目非正常工况主要为生产工艺中活性炭吸附装置和除尘装置发生故障或损坏，污染物排放控制措施达不到应有效果。本项目事故状态下活性炭吸附效率按50%计、布袋除尘器故障效率按50%计，</w:t>
            </w:r>
            <w:r>
              <w:rPr>
                <w:rFonts w:hint="eastAsia"/>
                <w:color w:val="auto"/>
                <w:lang w:val="en-US" w:eastAsia="zh-CN"/>
              </w:rPr>
              <w:t>矿粉</w:t>
            </w:r>
            <w:r>
              <w:rPr>
                <w:rFonts w:hint="eastAsia"/>
                <w:color w:val="auto"/>
              </w:rPr>
              <w:t>筒仓布袋除尘器故障效率按50%计。非正常工况下，各污染物排放情况见表4-5。</w:t>
            </w:r>
          </w:p>
          <w:p>
            <w:pPr>
              <w:widowControl/>
              <w:jc w:val="center"/>
              <w:rPr>
                <w:rFonts w:hAnsi="宋体"/>
                <w:b/>
                <w:color w:val="auto"/>
              </w:rPr>
            </w:pPr>
            <w:r>
              <w:rPr>
                <w:rFonts w:hint="eastAsia" w:hAnsi="宋体"/>
                <w:b/>
                <w:color w:val="auto"/>
              </w:rPr>
              <w:t>表4-6  非正常工况排放量</w:t>
            </w:r>
          </w:p>
          <w:tbl>
            <w:tblPr>
              <w:tblStyle w:val="30"/>
              <w:tblW w:w="843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1141"/>
              <w:gridCol w:w="650"/>
              <w:gridCol w:w="1151"/>
              <w:gridCol w:w="582"/>
              <w:gridCol w:w="1143"/>
              <w:gridCol w:w="1108"/>
              <w:gridCol w:w="866"/>
              <w:gridCol w:w="840"/>
              <w:gridCol w:w="9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1141"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非正常排放源</w:t>
                  </w:r>
                </w:p>
              </w:tc>
              <w:tc>
                <w:tcPr>
                  <w:tcW w:w="650"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工序</w:t>
                  </w:r>
                </w:p>
              </w:tc>
              <w:tc>
                <w:tcPr>
                  <w:tcW w:w="1151"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非正常排放原因</w:t>
                  </w:r>
                </w:p>
              </w:tc>
              <w:tc>
                <w:tcPr>
                  <w:tcW w:w="582"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污染物</w:t>
                  </w:r>
                </w:p>
              </w:tc>
              <w:tc>
                <w:tcPr>
                  <w:tcW w:w="1143"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非正常排放速率（kg/h）</w:t>
                  </w:r>
                </w:p>
              </w:tc>
              <w:tc>
                <w:tcPr>
                  <w:tcW w:w="1108" w:type="dxa"/>
                  <w:tcBorders>
                    <w:tl2br w:val="nil"/>
                    <w:tr2bl w:val="nil"/>
                  </w:tcBorders>
                  <w:vAlign w:val="center"/>
                </w:tcPr>
                <w:p>
                  <w:pPr>
                    <w:pStyle w:val="60"/>
                    <w:spacing w:before="0" w:beforeLines="0"/>
                    <w:jc w:val="center"/>
                    <w:rPr>
                      <w:b w:val="0"/>
                      <w:bCs/>
                      <w:color w:val="auto"/>
                      <w:sz w:val="21"/>
                      <w:szCs w:val="21"/>
                    </w:rPr>
                  </w:pPr>
                  <w:r>
                    <w:rPr>
                      <w:rFonts w:hint="eastAsia"/>
                      <w:b w:val="0"/>
                      <w:bCs/>
                      <w:color w:val="auto"/>
                      <w:sz w:val="21"/>
                      <w:szCs w:val="21"/>
                    </w:rPr>
                    <w:t>非正常排放浓度（mg/m</w:t>
                  </w:r>
                  <w:r>
                    <w:rPr>
                      <w:rFonts w:hint="eastAsia"/>
                      <w:b w:val="0"/>
                      <w:bCs/>
                      <w:color w:val="auto"/>
                      <w:sz w:val="21"/>
                      <w:szCs w:val="21"/>
                      <w:vertAlign w:val="superscript"/>
                    </w:rPr>
                    <w:t>3</w:t>
                  </w:r>
                  <w:r>
                    <w:rPr>
                      <w:rFonts w:hint="eastAsia"/>
                      <w:b w:val="0"/>
                      <w:bCs/>
                      <w:color w:val="auto"/>
                      <w:sz w:val="21"/>
                      <w:szCs w:val="21"/>
                    </w:rPr>
                    <w:t>）</w:t>
                  </w:r>
                </w:p>
              </w:tc>
              <w:tc>
                <w:tcPr>
                  <w:tcW w:w="866"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单次持续时间/h</w:t>
                  </w:r>
                </w:p>
              </w:tc>
              <w:tc>
                <w:tcPr>
                  <w:tcW w:w="840"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年发生频次/次</w:t>
                  </w:r>
                </w:p>
              </w:tc>
              <w:tc>
                <w:tcPr>
                  <w:tcW w:w="953" w:type="dxa"/>
                  <w:tcBorders>
                    <w:tl2br w:val="nil"/>
                    <w:tr2bl w:val="nil"/>
                  </w:tcBorders>
                  <w:vAlign w:val="center"/>
                </w:tcPr>
                <w:p>
                  <w:pPr>
                    <w:jc w:val="center"/>
                    <w:rPr>
                      <w:bCs/>
                      <w:color w:val="auto"/>
                      <w:sz w:val="21"/>
                      <w:szCs w:val="21"/>
                    </w:rPr>
                  </w:pPr>
                  <w:r>
                    <w:rPr>
                      <w:bCs/>
                      <w:color w:val="auto"/>
                      <w:sz w:val="21"/>
                      <w:szCs w:val="21"/>
                    </w:rPr>
                    <w:t>应对措施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502" w:hRule="atLeast"/>
                <w:jc w:val="center"/>
              </w:trPr>
              <w:tc>
                <w:tcPr>
                  <w:tcW w:w="1141" w:type="dxa"/>
                  <w:tcBorders>
                    <w:tl2br w:val="nil"/>
                    <w:tr2bl w:val="nil"/>
                  </w:tcBorders>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排气筒（DA004）</w:t>
                  </w:r>
                </w:p>
              </w:tc>
              <w:tc>
                <w:tcPr>
                  <w:tcW w:w="650" w:type="dxa"/>
                  <w:tcBorders>
                    <w:tl2br w:val="nil"/>
                    <w:tr2bl w:val="nil"/>
                  </w:tcBorders>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筒仓</w:t>
                  </w:r>
                </w:p>
              </w:tc>
              <w:tc>
                <w:tcPr>
                  <w:tcW w:w="1151" w:type="dxa"/>
                  <w:tcBorders>
                    <w:tl2br w:val="nil"/>
                    <w:tr2bl w:val="nil"/>
                  </w:tcBorders>
                  <w:vAlign w:val="center"/>
                </w:tcPr>
                <w:p>
                  <w:pPr>
                    <w:pStyle w:val="60"/>
                    <w:spacing w:before="0" w:beforeLines="0"/>
                    <w:jc w:val="center"/>
                    <w:rPr>
                      <w:rFonts w:hint="eastAsia" w:eastAsia="宋体"/>
                      <w:b w:val="0"/>
                      <w:bCs/>
                      <w:color w:val="auto"/>
                      <w:sz w:val="21"/>
                      <w:szCs w:val="21"/>
                      <w:lang w:val="en-US" w:eastAsia="zh-CN"/>
                    </w:rPr>
                  </w:pPr>
                  <w:r>
                    <w:rPr>
                      <w:rFonts w:hint="eastAsia"/>
                      <w:b w:val="0"/>
                      <w:bCs/>
                      <w:color w:val="auto"/>
                      <w:sz w:val="21"/>
                      <w:szCs w:val="21"/>
                      <w:lang w:val="en-US" w:eastAsia="zh-CN"/>
                    </w:rPr>
                    <w:t>布袋除尘器故障</w:t>
                  </w:r>
                  <w:r>
                    <w:rPr>
                      <w:rFonts w:hint="eastAsia"/>
                      <w:b w:val="0"/>
                      <w:bCs/>
                      <w:color w:val="auto"/>
                      <w:sz w:val="21"/>
                      <w:szCs w:val="21"/>
                    </w:rPr>
                    <w:t>按效率50%</w:t>
                  </w:r>
                </w:p>
              </w:tc>
              <w:tc>
                <w:tcPr>
                  <w:tcW w:w="582" w:type="dxa"/>
                  <w:tcBorders>
                    <w:tl2br w:val="nil"/>
                    <w:tr2bl w:val="nil"/>
                  </w:tcBorders>
                  <w:vAlign w:val="center"/>
                </w:tcPr>
                <w:p>
                  <w:pPr>
                    <w:pStyle w:val="92"/>
                    <w:spacing w:line="240" w:lineRule="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颗粒物</w:t>
                  </w:r>
                </w:p>
              </w:tc>
              <w:tc>
                <w:tcPr>
                  <w:tcW w:w="1143"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3.5985</w:t>
                  </w:r>
                </w:p>
              </w:tc>
              <w:tc>
                <w:tcPr>
                  <w:tcW w:w="1108"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359.85</w:t>
                  </w:r>
                </w:p>
              </w:tc>
              <w:tc>
                <w:tcPr>
                  <w:tcW w:w="866" w:type="dxa"/>
                  <w:tcBorders>
                    <w:tl2br w:val="nil"/>
                    <w:tr2bl w:val="nil"/>
                  </w:tcBorders>
                  <w:vAlign w:val="center"/>
                </w:tcPr>
                <w:p>
                  <w:pPr>
                    <w:pStyle w:val="60"/>
                    <w:spacing w:before="0" w:beforeLines="0"/>
                    <w:jc w:val="center"/>
                    <w:rPr>
                      <w:rFonts w:hint="eastAsia" w:eastAsia="宋体"/>
                      <w:b w:val="0"/>
                      <w:bCs/>
                      <w:color w:val="auto"/>
                      <w:sz w:val="21"/>
                      <w:szCs w:val="21"/>
                      <w:lang w:val="en-US" w:eastAsia="zh-CN"/>
                    </w:rPr>
                  </w:pPr>
                  <w:r>
                    <w:rPr>
                      <w:b w:val="0"/>
                      <w:bCs/>
                      <w:color w:val="auto"/>
                      <w:sz w:val="21"/>
                      <w:szCs w:val="21"/>
                    </w:rPr>
                    <w:t>≤1</w:t>
                  </w:r>
                </w:p>
              </w:tc>
              <w:tc>
                <w:tcPr>
                  <w:tcW w:w="840" w:type="dxa"/>
                  <w:tcBorders>
                    <w:tl2br w:val="nil"/>
                    <w:tr2bl w:val="nil"/>
                  </w:tcBorders>
                  <w:vAlign w:val="center"/>
                </w:tcPr>
                <w:p>
                  <w:pPr>
                    <w:pStyle w:val="60"/>
                    <w:spacing w:before="0" w:beforeLines="0"/>
                    <w:jc w:val="center"/>
                    <w:rPr>
                      <w:rFonts w:hint="eastAsia" w:eastAsia="宋体"/>
                      <w:b w:val="0"/>
                      <w:bCs/>
                      <w:color w:val="auto"/>
                      <w:sz w:val="21"/>
                      <w:szCs w:val="21"/>
                      <w:lang w:val="en-US" w:eastAsia="zh-CN"/>
                    </w:rPr>
                  </w:pPr>
                  <w:r>
                    <w:rPr>
                      <w:rFonts w:hint="eastAsia"/>
                      <w:b w:val="0"/>
                      <w:bCs/>
                      <w:color w:val="auto"/>
                      <w:sz w:val="21"/>
                      <w:szCs w:val="21"/>
                      <w:lang w:val="en-US" w:eastAsia="zh-CN"/>
                    </w:rPr>
                    <w:t>1</w:t>
                  </w:r>
                </w:p>
              </w:tc>
              <w:tc>
                <w:tcPr>
                  <w:tcW w:w="953" w:type="dxa"/>
                  <w:tcBorders>
                    <w:tl2br w:val="nil"/>
                    <w:tr2bl w:val="nil"/>
                  </w:tcBorders>
                  <w:vAlign w:val="center"/>
                </w:tcPr>
                <w:p>
                  <w:pPr>
                    <w:jc w:val="center"/>
                    <w:rPr>
                      <w:bCs/>
                      <w:color w:val="auto"/>
                      <w:sz w:val="21"/>
                      <w:szCs w:val="21"/>
                    </w:rPr>
                  </w:pPr>
                  <w:r>
                    <w:rPr>
                      <w:bCs/>
                      <w:color w:val="auto"/>
                      <w:sz w:val="21"/>
                      <w:szCs w:val="21"/>
                    </w:rPr>
                    <w:t>及时检修，加强维护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502" w:hRule="atLeast"/>
                <w:jc w:val="center"/>
              </w:trPr>
              <w:tc>
                <w:tcPr>
                  <w:tcW w:w="1141" w:type="dxa"/>
                  <w:vMerge w:val="restart"/>
                  <w:tcBorders>
                    <w:tl2br w:val="nil"/>
                    <w:tr2bl w:val="nil"/>
                  </w:tcBorders>
                  <w:vAlign w:val="center"/>
                </w:tcPr>
                <w:p>
                  <w:pPr>
                    <w:jc w:val="center"/>
                    <w:rPr>
                      <w:bCs/>
                      <w:color w:val="auto"/>
                      <w:sz w:val="21"/>
                      <w:szCs w:val="21"/>
                    </w:rPr>
                  </w:pPr>
                  <w:r>
                    <w:rPr>
                      <w:rFonts w:hint="eastAsia"/>
                      <w:bCs/>
                      <w:color w:val="auto"/>
                      <w:sz w:val="21"/>
                      <w:szCs w:val="21"/>
                    </w:rPr>
                    <w:t>排气筒（DA003）</w:t>
                  </w:r>
                </w:p>
              </w:tc>
              <w:tc>
                <w:tcPr>
                  <w:tcW w:w="650" w:type="dxa"/>
                  <w:vMerge w:val="restart"/>
                  <w:tcBorders>
                    <w:tl2br w:val="nil"/>
                    <w:tr2bl w:val="nil"/>
                  </w:tcBorders>
                  <w:vAlign w:val="center"/>
                </w:tcPr>
                <w:p>
                  <w:pPr>
                    <w:jc w:val="center"/>
                    <w:rPr>
                      <w:bCs/>
                      <w:color w:val="auto"/>
                      <w:sz w:val="21"/>
                      <w:szCs w:val="21"/>
                    </w:rPr>
                  </w:pPr>
                  <w:r>
                    <w:rPr>
                      <w:rFonts w:hint="eastAsia"/>
                      <w:bCs/>
                      <w:color w:val="auto"/>
                      <w:sz w:val="21"/>
                      <w:szCs w:val="21"/>
                    </w:rPr>
                    <w:t>沥青搅拌站</w:t>
                  </w:r>
                </w:p>
              </w:tc>
              <w:tc>
                <w:tcPr>
                  <w:tcW w:w="1151" w:type="dxa"/>
                  <w:vMerge w:val="restart"/>
                  <w:tcBorders>
                    <w:tl2br w:val="nil"/>
                    <w:tr2bl w:val="nil"/>
                  </w:tcBorders>
                  <w:vAlign w:val="center"/>
                </w:tcPr>
                <w:p>
                  <w:pPr>
                    <w:pStyle w:val="60"/>
                    <w:spacing w:before="0" w:beforeLines="0"/>
                    <w:jc w:val="center"/>
                    <w:rPr>
                      <w:b w:val="0"/>
                      <w:bCs/>
                      <w:color w:val="auto"/>
                      <w:sz w:val="21"/>
                      <w:szCs w:val="21"/>
                    </w:rPr>
                  </w:pPr>
                  <w:r>
                    <w:rPr>
                      <w:rFonts w:hint="eastAsia"/>
                      <w:b w:val="0"/>
                      <w:bCs/>
                      <w:color w:val="auto"/>
                      <w:sz w:val="21"/>
                      <w:szCs w:val="21"/>
                    </w:rPr>
                    <w:t>布袋除尘装置故障按效率50%、活性炭吸附装置故障按效率50%</w:t>
                  </w:r>
                </w:p>
              </w:tc>
              <w:tc>
                <w:tcPr>
                  <w:tcW w:w="582" w:type="dxa"/>
                  <w:tcBorders>
                    <w:tl2br w:val="nil"/>
                    <w:tr2bl w:val="nil"/>
                  </w:tcBorders>
                  <w:vAlign w:val="center"/>
                </w:tcPr>
                <w:p>
                  <w:pPr>
                    <w:pStyle w:val="92"/>
                    <w:spacing w:line="240" w:lineRule="auto"/>
                    <w:rPr>
                      <w:rFonts w:hint="default" w:ascii="Times New Roman" w:hAnsi="Times New Roman" w:eastAsia="宋体"/>
                      <w:bCs/>
                      <w:color w:val="auto"/>
                      <w:sz w:val="21"/>
                      <w:szCs w:val="21"/>
                    </w:rPr>
                  </w:pPr>
                  <w:r>
                    <w:rPr>
                      <w:rFonts w:ascii="Times New Roman" w:hAnsi="Times New Roman" w:eastAsia="宋体"/>
                      <w:bCs/>
                      <w:color w:val="auto"/>
                      <w:sz w:val="21"/>
                      <w:szCs w:val="21"/>
                    </w:rPr>
                    <w:t>沥青烟</w:t>
                  </w:r>
                </w:p>
              </w:tc>
              <w:tc>
                <w:tcPr>
                  <w:tcW w:w="1143"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1.029</w:t>
                  </w:r>
                </w:p>
              </w:tc>
              <w:tc>
                <w:tcPr>
                  <w:tcW w:w="1108"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308</w:t>
                  </w:r>
                </w:p>
              </w:tc>
              <w:tc>
                <w:tcPr>
                  <w:tcW w:w="866" w:type="dxa"/>
                  <w:vMerge w:val="restart"/>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≤1</w:t>
                  </w:r>
                </w:p>
              </w:tc>
              <w:tc>
                <w:tcPr>
                  <w:tcW w:w="840" w:type="dxa"/>
                  <w:vMerge w:val="restart"/>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1</w:t>
                  </w:r>
                </w:p>
              </w:tc>
              <w:tc>
                <w:tcPr>
                  <w:tcW w:w="953" w:type="dxa"/>
                  <w:vMerge w:val="restart"/>
                  <w:tcBorders>
                    <w:tl2br w:val="nil"/>
                    <w:tr2bl w:val="nil"/>
                  </w:tcBorders>
                  <w:vAlign w:val="center"/>
                </w:tcPr>
                <w:p>
                  <w:pPr>
                    <w:jc w:val="center"/>
                    <w:rPr>
                      <w:bCs/>
                      <w:color w:val="auto"/>
                      <w:sz w:val="21"/>
                      <w:szCs w:val="21"/>
                    </w:rPr>
                  </w:pPr>
                  <w:r>
                    <w:rPr>
                      <w:bCs/>
                      <w:color w:val="auto"/>
                      <w:sz w:val="21"/>
                      <w:szCs w:val="21"/>
                    </w:rPr>
                    <w:t>及时检修，加强维护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502" w:hRule="atLeast"/>
                <w:jc w:val="center"/>
              </w:trPr>
              <w:tc>
                <w:tcPr>
                  <w:tcW w:w="1141" w:type="dxa"/>
                  <w:vMerge w:val="continue"/>
                  <w:tcBorders>
                    <w:tl2br w:val="nil"/>
                    <w:tr2bl w:val="nil"/>
                  </w:tcBorders>
                  <w:vAlign w:val="center"/>
                </w:tcPr>
                <w:p>
                  <w:pPr>
                    <w:jc w:val="center"/>
                    <w:rPr>
                      <w:rFonts w:hint="eastAsia"/>
                      <w:bCs/>
                      <w:color w:val="auto"/>
                      <w:sz w:val="21"/>
                      <w:szCs w:val="21"/>
                    </w:rPr>
                  </w:pPr>
                </w:p>
              </w:tc>
              <w:tc>
                <w:tcPr>
                  <w:tcW w:w="650" w:type="dxa"/>
                  <w:vMerge w:val="continue"/>
                  <w:tcBorders>
                    <w:tl2br w:val="nil"/>
                    <w:tr2bl w:val="nil"/>
                  </w:tcBorders>
                  <w:vAlign w:val="center"/>
                </w:tcPr>
                <w:p>
                  <w:pPr>
                    <w:jc w:val="center"/>
                    <w:rPr>
                      <w:rFonts w:hint="eastAsia"/>
                      <w:bCs/>
                      <w:color w:val="auto"/>
                      <w:sz w:val="21"/>
                      <w:szCs w:val="21"/>
                    </w:rPr>
                  </w:pPr>
                </w:p>
              </w:tc>
              <w:tc>
                <w:tcPr>
                  <w:tcW w:w="1151" w:type="dxa"/>
                  <w:vMerge w:val="continue"/>
                  <w:tcBorders>
                    <w:tl2br w:val="nil"/>
                    <w:tr2bl w:val="nil"/>
                  </w:tcBorders>
                  <w:vAlign w:val="center"/>
                </w:tcPr>
                <w:p>
                  <w:pPr>
                    <w:pStyle w:val="60"/>
                    <w:spacing w:before="0" w:beforeLines="0"/>
                    <w:jc w:val="center"/>
                    <w:rPr>
                      <w:rFonts w:hint="eastAsia"/>
                      <w:b w:val="0"/>
                      <w:bCs/>
                      <w:color w:val="auto"/>
                      <w:sz w:val="21"/>
                      <w:szCs w:val="21"/>
                    </w:rPr>
                  </w:pPr>
                </w:p>
              </w:tc>
              <w:tc>
                <w:tcPr>
                  <w:tcW w:w="582" w:type="dxa"/>
                  <w:tcBorders>
                    <w:tl2br w:val="nil"/>
                    <w:tr2bl w:val="nil"/>
                  </w:tcBorders>
                  <w:vAlign w:val="center"/>
                </w:tcPr>
                <w:p>
                  <w:pPr>
                    <w:pStyle w:val="92"/>
                    <w:spacing w:line="240" w:lineRule="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非甲烷总烃</w:t>
                  </w:r>
                </w:p>
              </w:tc>
              <w:tc>
                <w:tcPr>
                  <w:tcW w:w="1143"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0.014</w:t>
                  </w:r>
                </w:p>
              </w:tc>
              <w:tc>
                <w:tcPr>
                  <w:tcW w:w="1108"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13.5</w:t>
                  </w:r>
                </w:p>
              </w:tc>
              <w:tc>
                <w:tcPr>
                  <w:tcW w:w="866" w:type="dxa"/>
                  <w:vMerge w:val="continue"/>
                  <w:tcBorders>
                    <w:tl2br w:val="nil"/>
                    <w:tr2bl w:val="nil"/>
                  </w:tcBorders>
                  <w:vAlign w:val="center"/>
                </w:tcPr>
                <w:p>
                  <w:pPr>
                    <w:pStyle w:val="60"/>
                    <w:spacing w:before="0" w:beforeLines="0"/>
                    <w:jc w:val="center"/>
                    <w:rPr>
                      <w:b w:val="0"/>
                      <w:bCs/>
                      <w:color w:val="auto"/>
                      <w:sz w:val="21"/>
                      <w:szCs w:val="21"/>
                    </w:rPr>
                  </w:pPr>
                </w:p>
              </w:tc>
              <w:tc>
                <w:tcPr>
                  <w:tcW w:w="840" w:type="dxa"/>
                  <w:vMerge w:val="continue"/>
                  <w:tcBorders>
                    <w:tl2br w:val="nil"/>
                    <w:tr2bl w:val="nil"/>
                  </w:tcBorders>
                  <w:vAlign w:val="center"/>
                </w:tcPr>
                <w:p>
                  <w:pPr>
                    <w:pStyle w:val="60"/>
                    <w:spacing w:before="0" w:beforeLines="0"/>
                    <w:jc w:val="center"/>
                    <w:rPr>
                      <w:b w:val="0"/>
                      <w:bCs/>
                      <w:color w:val="auto"/>
                      <w:sz w:val="21"/>
                      <w:szCs w:val="21"/>
                    </w:rPr>
                  </w:pPr>
                </w:p>
              </w:tc>
              <w:tc>
                <w:tcPr>
                  <w:tcW w:w="953" w:type="dxa"/>
                  <w:vMerge w:val="continue"/>
                  <w:tcBorders>
                    <w:tl2br w:val="nil"/>
                    <w:tr2bl w:val="nil"/>
                  </w:tcBorders>
                  <w:vAlign w:val="center"/>
                </w:tcPr>
                <w:p>
                  <w:pPr>
                    <w:jc w:val="center"/>
                    <w:rPr>
                      <w:bCs/>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524" w:hRule="atLeast"/>
                <w:jc w:val="center"/>
              </w:trPr>
              <w:tc>
                <w:tcPr>
                  <w:tcW w:w="1141" w:type="dxa"/>
                  <w:vMerge w:val="continue"/>
                  <w:tcBorders>
                    <w:tl2br w:val="nil"/>
                    <w:tr2bl w:val="nil"/>
                  </w:tcBorders>
                  <w:vAlign w:val="center"/>
                </w:tcPr>
                <w:p>
                  <w:pPr>
                    <w:jc w:val="center"/>
                    <w:rPr>
                      <w:bCs/>
                      <w:color w:val="auto"/>
                      <w:sz w:val="21"/>
                      <w:szCs w:val="21"/>
                    </w:rPr>
                  </w:pPr>
                </w:p>
              </w:tc>
              <w:tc>
                <w:tcPr>
                  <w:tcW w:w="650" w:type="dxa"/>
                  <w:vMerge w:val="continue"/>
                  <w:tcBorders>
                    <w:tl2br w:val="nil"/>
                    <w:tr2bl w:val="nil"/>
                  </w:tcBorders>
                  <w:vAlign w:val="center"/>
                </w:tcPr>
                <w:p>
                  <w:pPr>
                    <w:pStyle w:val="92"/>
                    <w:spacing w:line="240" w:lineRule="auto"/>
                    <w:rPr>
                      <w:rFonts w:hint="default"/>
                      <w:color w:val="auto"/>
                    </w:rPr>
                  </w:pPr>
                </w:p>
              </w:tc>
              <w:tc>
                <w:tcPr>
                  <w:tcW w:w="1151" w:type="dxa"/>
                  <w:vMerge w:val="continue"/>
                  <w:tcBorders>
                    <w:tl2br w:val="nil"/>
                    <w:tr2bl w:val="nil"/>
                  </w:tcBorders>
                  <w:vAlign w:val="center"/>
                </w:tcPr>
                <w:p>
                  <w:pPr>
                    <w:pStyle w:val="92"/>
                    <w:spacing w:line="240" w:lineRule="auto"/>
                    <w:rPr>
                      <w:rFonts w:hint="default"/>
                      <w:color w:val="auto"/>
                    </w:rPr>
                  </w:pPr>
                </w:p>
              </w:tc>
              <w:tc>
                <w:tcPr>
                  <w:tcW w:w="582" w:type="dxa"/>
                  <w:tcBorders>
                    <w:tl2br w:val="nil"/>
                    <w:tr2bl w:val="nil"/>
                  </w:tcBorders>
                  <w:vAlign w:val="center"/>
                </w:tcPr>
                <w:p>
                  <w:pPr>
                    <w:pStyle w:val="92"/>
                    <w:spacing w:line="240" w:lineRule="auto"/>
                    <w:rPr>
                      <w:rFonts w:hint="default" w:ascii="Times New Roman" w:hAnsi="Times New Roman" w:eastAsia="宋体"/>
                      <w:bCs/>
                      <w:color w:val="auto"/>
                      <w:sz w:val="21"/>
                      <w:szCs w:val="21"/>
                    </w:rPr>
                  </w:pPr>
                  <w:r>
                    <w:rPr>
                      <w:rFonts w:ascii="Times New Roman" w:hAnsi="Times New Roman" w:eastAsia="宋体"/>
                      <w:bCs/>
                      <w:color w:val="auto"/>
                      <w:sz w:val="21"/>
                      <w:szCs w:val="21"/>
                    </w:rPr>
                    <w:t>苯并[a]芘</w:t>
                  </w:r>
                </w:p>
              </w:tc>
              <w:tc>
                <w:tcPr>
                  <w:tcW w:w="1143" w:type="dxa"/>
                  <w:tcBorders>
                    <w:tl2br w:val="nil"/>
                    <w:tr2bl w:val="nil"/>
                  </w:tcBorders>
                  <w:vAlign w:val="center"/>
                </w:tcPr>
                <w:p>
                  <w:pPr>
                    <w:pStyle w:val="92"/>
                    <w:spacing w:line="240" w:lineRule="auto"/>
                    <w:rPr>
                      <w:rFonts w:hint="default"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4.625</w:t>
                  </w:r>
                  <w:r>
                    <w:rPr>
                      <w:rFonts w:ascii="Times New Roman" w:hAnsi="Times New Roman" w:eastAsia="宋体"/>
                      <w:bCs/>
                      <w:color w:val="auto"/>
                      <w:sz w:val="21"/>
                      <w:szCs w:val="21"/>
                    </w:rPr>
                    <w:t>×10</w:t>
                  </w:r>
                  <w:r>
                    <w:rPr>
                      <w:rFonts w:ascii="Times New Roman" w:hAnsi="Times New Roman" w:eastAsia="宋体"/>
                      <w:bCs/>
                      <w:color w:val="auto"/>
                      <w:sz w:val="21"/>
                      <w:szCs w:val="21"/>
                      <w:vertAlign w:val="superscript"/>
                    </w:rPr>
                    <w:t>-5</w:t>
                  </w:r>
                </w:p>
              </w:tc>
              <w:tc>
                <w:tcPr>
                  <w:tcW w:w="1108" w:type="dxa"/>
                  <w:tcBorders>
                    <w:tl2br w:val="nil"/>
                    <w:tr2bl w:val="nil"/>
                  </w:tcBorders>
                  <w:vAlign w:val="center"/>
                </w:tcPr>
                <w:p>
                  <w:pPr>
                    <w:pStyle w:val="92"/>
                    <w:spacing w:line="240" w:lineRule="auto"/>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val="en-US" w:eastAsia="zh-CN"/>
                    </w:rPr>
                    <w:t>4.625</w:t>
                  </w:r>
                  <w:r>
                    <w:rPr>
                      <w:rFonts w:ascii="Times New Roman" w:hAnsi="Times New Roman" w:eastAsia="宋体"/>
                      <w:bCs/>
                      <w:color w:val="auto"/>
                      <w:sz w:val="21"/>
                      <w:szCs w:val="21"/>
                    </w:rPr>
                    <w:t>×10</w:t>
                  </w:r>
                  <w:r>
                    <w:rPr>
                      <w:rFonts w:ascii="Times New Roman" w:hAnsi="Times New Roman" w:eastAsia="宋体"/>
                      <w:bCs/>
                      <w:color w:val="auto"/>
                      <w:sz w:val="21"/>
                      <w:szCs w:val="21"/>
                      <w:vertAlign w:val="superscript"/>
                    </w:rPr>
                    <w:t>-</w:t>
                  </w:r>
                  <w:r>
                    <w:rPr>
                      <w:rFonts w:hint="eastAsia" w:ascii="Times New Roman" w:hAnsi="Times New Roman" w:eastAsia="宋体"/>
                      <w:bCs/>
                      <w:color w:val="auto"/>
                      <w:sz w:val="21"/>
                      <w:szCs w:val="21"/>
                      <w:vertAlign w:val="superscript"/>
                      <w:lang w:val="en-US" w:eastAsia="zh-CN"/>
                    </w:rPr>
                    <w:t>3</w:t>
                  </w:r>
                </w:p>
              </w:tc>
              <w:tc>
                <w:tcPr>
                  <w:tcW w:w="866" w:type="dxa"/>
                  <w:vMerge w:val="continue"/>
                  <w:tcBorders>
                    <w:tl2br w:val="nil"/>
                    <w:tr2bl w:val="nil"/>
                  </w:tcBorders>
                  <w:vAlign w:val="center"/>
                </w:tcPr>
                <w:p>
                  <w:pPr>
                    <w:pStyle w:val="92"/>
                    <w:spacing w:line="240" w:lineRule="auto"/>
                    <w:rPr>
                      <w:rFonts w:hint="default" w:ascii="Times New Roman" w:hAnsi="Times New Roman" w:eastAsia="宋体"/>
                      <w:bCs/>
                      <w:color w:val="auto"/>
                      <w:sz w:val="21"/>
                      <w:szCs w:val="21"/>
                    </w:rPr>
                  </w:pPr>
                </w:p>
              </w:tc>
              <w:tc>
                <w:tcPr>
                  <w:tcW w:w="840" w:type="dxa"/>
                  <w:vMerge w:val="continue"/>
                  <w:tcBorders>
                    <w:tl2br w:val="nil"/>
                    <w:tr2bl w:val="nil"/>
                  </w:tcBorders>
                  <w:vAlign w:val="center"/>
                </w:tcPr>
                <w:p>
                  <w:pPr>
                    <w:pStyle w:val="92"/>
                    <w:spacing w:line="240" w:lineRule="auto"/>
                    <w:rPr>
                      <w:rFonts w:hint="default" w:ascii="Times New Roman" w:hAnsi="Times New Roman" w:eastAsia="宋体"/>
                      <w:bCs/>
                      <w:color w:val="auto"/>
                      <w:sz w:val="21"/>
                      <w:szCs w:val="21"/>
                    </w:rPr>
                  </w:pPr>
                </w:p>
              </w:tc>
              <w:tc>
                <w:tcPr>
                  <w:tcW w:w="953" w:type="dxa"/>
                  <w:vMerge w:val="continue"/>
                  <w:tcBorders>
                    <w:tl2br w:val="nil"/>
                    <w:tr2bl w:val="nil"/>
                  </w:tcBorders>
                  <w:vAlign w:val="center"/>
                </w:tcPr>
                <w:p>
                  <w:pPr>
                    <w:pStyle w:val="92"/>
                    <w:spacing w:line="240" w:lineRule="auto"/>
                    <w:rPr>
                      <w:rFonts w:hint="default" w:ascii="Times New Roman" w:hAnsi="Times New Roman" w:eastAsia="宋体"/>
                      <w:bCs/>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524" w:hRule="atLeast"/>
                <w:jc w:val="center"/>
              </w:trPr>
              <w:tc>
                <w:tcPr>
                  <w:tcW w:w="1141" w:type="dxa"/>
                  <w:tcBorders>
                    <w:tl2br w:val="nil"/>
                    <w:tr2bl w:val="nil"/>
                  </w:tcBorders>
                  <w:vAlign w:val="center"/>
                </w:tcPr>
                <w:p>
                  <w:pPr>
                    <w:jc w:val="center"/>
                    <w:rPr>
                      <w:bCs/>
                      <w:color w:val="auto"/>
                      <w:sz w:val="21"/>
                      <w:szCs w:val="21"/>
                    </w:rPr>
                  </w:pPr>
                  <w:r>
                    <w:rPr>
                      <w:rFonts w:hint="eastAsia"/>
                      <w:bCs/>
                      <w:color w:val="auto"/>
                      <w:sz w:val="21"/>
                      <w:szCs w:val="21"/>
                    </w:rPr>
                    <w:t>排气筒（DA002）</w:t>
                  </w:r>
                </w:p>
              </w:tc>
              <w:tc>
                <w:tcPr>
                  <w:tcW w:w="650" w:type="dxa"/>
                  <w:tcBorders>
                    <w:tl2br w:val="nil"/>
                    <w:tr2bl w:val="nil"/>
                  </w:tcBorders>
                  <w:vAlign w:val="center"/>
                </w:tcPr>
                <w:p>
                  <w:pPr>
                    <w:jc w:val="center"/>
                    <w:rPr>
                      <w:rFonts w:hint="default" w:eastAsia="宋体"/>
                      <w:bCs/>
                      <w:color w:val="auto"/>
                      <w:sz w:val="21"/>
                      <w:szCs w:val="21"/>
                      <w:lang w:val="en-US" w:eastAsia="zh-CN"/>
                    </w:rPr>
                  </w:pPr>
                  <w:r>
                    <w:rPr>
                      <w:rFonts w:hint="eastAsia"/>
                      <w:bCs/>
                      <w:color w:val="auto"/>
                      <w:sz w:val="21"/>
                      <w:szCs w:val="21"/>
                    </w:rPr>
                    <w:t>骨料烘干</w:t>
                  </w:r>
                  <w:r>
                    <w:rPr>
                      <w:rFonts w:hint="eastAsia"/>
                      <w:bCs/>
                      <w:color w:val="auto"/>
                      <w:sz w:val="21"/>
                      <w:szCs w:val="21"/>
                      <w:lang w:val="en-US" w:eastAsia="zh-CN"/>
                    </w:rPr>
                    <w:t>和燃烧器燃烧</w:t>
                  </w:r>
                </w:p>
              </w:tc>
              <w:tc>
                <w:tcPr>
                  <w:tcW w:w="1151" w:type="dxa"/>
                  <w:tcBorders>
                    <w:tl2br w:val="nil"/>
                    <w:tr2bl w:val="nil"/>
                  </w:tcBorders>
                  <w:vAlign w:val="center"/>
                </w:tcPr>
                <w:p>
                  <w:pPr>
                    <w:pStyle w:val="60"/>
                    <w:spacing w:before="0" w:beforeLines="0"/>
                    <w:jc w:val="center"/>
                    <w:rPr>
                      <w:b w:val="0"/>
                      <w:bCs/>
                      <w:color w:val="auto"/>
                      <w:sz w:val="21"/>
                      <w:szCs w:val="21"/>
                    </w:rPr>
                  </w:pPr>
                  <w:r>
                    <w:rPr>
                      <w:rFonts w:hint="eastAsia"/>
                      <w:b w:val="0"/>
                      <w:bCs/>
                      <w:color w:val="auto"/>
                      <w:sz w:val="21"/>
                      <w:szCs w:val="21"/>
                    </w:rPr>
                    <w:t>布袋除尘装置故障按效率50%</w:t>
                  </w:r>
                </w:p>
              </w:tc>
              <w:tc>
                <w:tcPr>
                  <w:tcW w:w="582" w:type="dxa"/>
                  <w:tcBorders>
                    <w:tl2br w:val="nil"/>
                    <w:tr2bl w:val="nil"/>
                  </w:tcBorders>
                  <w:vAlign w:val="center"/>
                </w:tcPr>
                <w:p>
                  <w:pPr>
                    <w:pStyle w:val="92"/>
                    <w:spacing w:line="240" w:lineRule="auto"/>
                    <w:rPr>
                      <w:rFonts w:hint="default" w:ascii="Times New Roman" w:hAnsi="Times New Roman" w:eastAsia="宋体"/>
                      <w:bCs/>
                      <w:color w:val="auto"/>
                      <w:sz w:val="21"/>
                      <w:szCs w:val="21"/>
                    </w:rPr>
                  </w:pPr>
                  <w:r>
                    <w:rPr>
                      <w:rFonts w:ascii="Times New Roman" w:hAnsi="Times New Roman" w:eastAsia="宋体"/>
                      <w:bCs/>
                      <w:color w:val="auto"/>
                      <w:sz w:val="21"/>
                      <w:szCs w:val="21"/>
                    </w:rPr>
                    <w:t>颗粒物</w:t>
                  </w:r>
                </w:p>
              </w:tc>
              <w:tc>
                <w:tcPr>
                  <w:tcW w:w="1143"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18.417</w:t>
                  </w:r>
                </w:p>
              </w:tc>
              <w:tc>
                <w:tcPr>
                  <w:tcW w:w="1108" w:type="dxa"/>
                  <w:tcBorders>
                    <w:tl2br w:val="nil"/>
                    <w:tr2bl w:val="nil"/>
                  </w:tcBorders>
                  <w:vAlign w:val="center"/>
                </w:tcPr>
                <w:p>
                  <w:pPr>
                    <w:pStyle w:val="92"/>
                    <w:spacing w:line="240" w:lineRule="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1841.7</w:t>
                  </w:r>
                </w:p>
              </w:tc>
              <w:tc>
                <w:tcPr>
                  <w:tcW w:w="866"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≤1</w:t>
                  </w:r>
                </w:p>
              </w:tc>
              <w:tc>
                <w:tcPr>
                  <w:tcW w:w="840" w:type="dxa"/>
                  <w:tcBorders>
                    <w:tl2br w:val="nil"/>
                    <w:tr2bl w:val="nil"/>
                  </w:tcBorders>
                  <w:vAlign w:val="center"/>
                </w:tcPr>
                <w:p>
                  <w:pPr>
                    <w:pStyle w:val="60"/>
                    <w:spacing w:before="0" w:beforeLines="0"/>
                    <w:jc w:val="center"/>
                    <w:rPr>
                      <w:b w:val="0"/>
                      <w:bCs/>
                      <w:color w:val="auto"/>
                      <w:sz w:val="21"/>
                      <w:szCs w:val="21"/>
                    </w:rPr>
                  </w:pPr>
                  <w:r>
                    <w:rPr>
                      <w:b w:val="0"/>
                      <w:bCs/>
                      <w:color w:val="auto"/>
                      <w:sz w:val="21"/>
                      <w:szCs w:val="21"/>
                    </w:rPr>
                    <w:t>1</w:t>
                  </w:r>
                </w:p>
              </w:tc>
              <w:tc>
                <w:tcPr>
                  <w:tcW w:w="953" w:type="dxa"/>
                  <w:tcBorders>
                    <w:tl2br w:val="nil"/>
                    <w:tr2bl w:val="nil"/>
                  </w:tcBorders>
                  <w:vAlign w:val="center"/>
                </w:tcPr>
                <w:p>
                  <w:pPr>
                    <w:rPr>
                      <w:bCs/>
                      <w:color w:val="auto"/>
                      <w:sz w:val="21"/>
                      <w:szCs w:val="21"/>
                    </w:rPr>
                  </w:pPr>
                  <w:r>
                    <w:rPr>
                      <w:bCs/>
                      <w:color w:val="auto"/>
                      <w:sz w:val="21"/>
                      <w:szCs w:val="21"/>
                    </w:rPr>
                    <w:t>及时检修，加强维护</w:t>
                  </w:r>
                </w:p>
              </w:tc>
            </w:tr>
          </w:tbl>
          <w:p>
            <w:pPr>
              <w:adjustRightInd w:val="0"/>
              <w:snapToGrid w:val="0"/>
              <w:spacing w:line="360" w:lineRule="auto"/>
              <w:ind w:firstLine="480" w:firstLineChars="200"/>
              <w:rPr>
                <w:color w:val="auto"/>
              </w:rPr>
            </w:pPr>
            <w:r>
              <w:rPr>
                <w:color w:val="auto"/>
              </w:rPr>
              <w:t>本项目污染防治措施可行性分析见表</w:t>
            </w:r>
            <w:r>
              <w:rPr>
                <w:rFonts w:hint="eastAsia"/>
                <w:color w:val="auto"/>
              </w:rPr>
              <w:t>4-</w:t>
            </w:r>
            <w:r>
              <w:rPr>
                <w:rFonts w:hint="eastAsia"/>
                <w:color w:val="auto"/>
                <w:lang w:val="en-US" w:eastAsia="zh-CN"/>
              </w:rPr>
              <w:t>7</w:t>
            </w:r>
            <w:r>
              <w:rPr>
                <w:color w:val="auto"/>
              </w:rPr>
              <w:t>。</w:t>
            </w:r>
          </w:p>
          <w:p>
            <w:pPr>
              <w:pStyle w:val="3"/>
              <w:spacing w:before="75" w:line="360" w:lineRule="auto"/>
              <w:ind w:firstLine="470" w:firstLineChars="200"/>
              <w:rPr>
                <w:color w:val="auto"/>
                <w:sz w:val="24"/>
              </w:rPr>
            </w:pPr>
            <w:r>
              <w:rPr>
                <w:b/>
                <w:bCs/>
                <w:color w:val="auto"/>
                <w:spacing w:val="-3"/>
                <w:sz w:val="24"/>
              </w:rPr>
              <w:t>表</w:t>
            </w:r>
            <w:r>
              <w:rPr>
                <w:rFonts w:hint="eastAsia"/>
                <w:b/>
                <w:bCs/>
                <w:color w:val="auto"/>
                <w:spacing w:val="-3"/>
                <w:sz w:val="24"/>
              </w:rPr>
              <w:t xml:space="preserve">4-7  </w:t>
            </w:r>
            <w:r>
              <w:rPr>
                <w:b/>
                <w:bCs/>
                <w:color w:val="auto"/>
                <w:spacing w:val="-3"/>
                <w:sz w:val="24"/>
              </w:rPr>
              <w:t>废气污染防治措施可行性分析表</w:t>
            </w:r>
          </w:p>
          <w:tbl>
            <w:tblPr>
              <w:tblStyle w:val="81"/>
              <w:tblW w:w="84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7"/>
              <w:gridCol w:w="1458"/>
              <w:gridCol w:w="2443"/>
              <w:gridCol w:w="2583"/>
              <w:gridCol w:w="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7" w:hRule="atLeast"/>
              </w:trPr>
              <w:tc>
                <w:tcPr>
                  <w:tcW w:w="1217" w:type="dxa"/>
                  <w:tcBorders>
                    <w:top w:val="single" w:color="000000" w:sz="10" w:space="0"/>
                    <w:left w:val="nil"/>
                  </w:tcBorders>
                  <w:vAlign w:val="center"/>
                </w:tcPr>
                <w:p>
                  <w:pPr>
                    <w:pStyle w:val="100"/>
                    <w:spacing w:before="211" w:line="228" w:lineRule="auto"/>
                    <w:jc w:val="center"/>
                    <w:rPr>
                      <w:color w:val="auto"/>
                      <w:sz w:val="21"/>
                      <w:szCs w:val="21"/>
                    </w:rPr>
                  </w:pPr>
                  <w:r>
                    <w:rPr>
                      <w:color w:val="auto"/>
                      <w:spacing w:val="7"/>
                      <w:sz w:val="21"/>
                      <w:szCs w:val="21"/>
                    </w:rPr>
                    <w:t>废气类别</w:t>
                  </w:r>
                </w:p>
              </w:tc>
              <w:tc>
                <w:tcPr>
                  <w:tcW w:w="1458" w:type="dxa"/>
                  <w:tcBorders>
                    <w:top w:val="single" w:color="000000" w:sz="10" w:space="0"/>
                  </w:tcBorders>
                  <w:vAlign w:val="center"/>
                </w:tcPr>
                <w:p>
                  <w:pPr>
                    <w:pStyle w:val="100"/>
                    <w:spacing w:before="212" w:line="228" w:lineRule="auto"/>
                    <w:jc w:val="center"/>
                    <w:rPr>
                      <w:color w:val="auto"/>
                      <w:sz w:val="21"/>
                      <w:szCs w:val="21"/>
                    </w:rPr>
                  </w:pPr>
                  <w:r>
                    <w:rPr>
                      <w:color w:val="auto"/>
                      <w:spacing w:val="7"/>
                      <w:sz w:val="21"/>
                      <w:szCs w:val="21"/>
                    </w:rPr>
                    <w:t>主要污染物</w:t>
                  </w:r>
                </w:p>
              </w:tc>
              <w:tc>
                <w:tcPr>
                  <w:tcW w:w="2443" w:type="dxa"/>
                  <w:tcBorders>
                    <w:top w:val="single" w:color="000000" w:sz="10" w:space="0"/>
                  </w:tcBorders>
                  <w:vAlign w:val="center"/>
                </w:tcPr>
                <w:p>
                  <w:pPr>
                    <w:pStyle w:val="100"/>
                    <w:spacing w:before="211" w:line="227" w:lineRule="auto"/>
                    <w:jc w:val="center"/>
                    <w:rPr>
                      <w:color w:val="auto"/>
                      <w:sz w:val="21"/>
                      <w:szCs w:val="21"/>
                    </w:rPr>
                  </w:pPr>
                  <w:r>
                    <w:rPr>
                      <w:color w:val="auto"/>
                      <w:spacing w:val="8"/>
                      <w:sz w:val="21"/>
                      <w:szCs w:val="21"/>
                    </w:rPr>
                    <w:t>项目采取的措施</w:t>
                  </w:r>
                </w:p>
              </w:tc>
              <w:tc>
                <w:tcPr>
                  <w:tcW w:w="2583" w:type="dxa"/>
                  <w:tcBorders>
                    <w:top w:val="single" w:color="000000" w:sz="10" w:space="0"/>
                  </w:tcBorders>
                  <w:vAlign w:val="center"/>
                </w:tcPr>
                <w:p>
                  <w:pPr>
                    <w:pStyle w:val="100"/>
                    <w:spacing w:before="76" w:line="252" w:lineRule="auto"/>
                    <w:ind w:right="160"/>
                    <w:jc w:val="center"/>
                    <w:rPr>
                      <w:color w:val="auto"/>
                      <w:sz w:val="21"/>
                      <w:szCs w:val="21"/>
                      <w:lang w:eastAsia="zh-CN"/>
                    </w:rPr>
                  </w:pPr>
                  <w:r>
                    <w:rPr>
                      <w:color w:val="auto"/>
                      <w:spacing w:val="9"/>
                      <w:sz w:val="21"/>
                      <w:szCs w:val="21"/>
                      <w:lang w:eastAsia="zh-CN"/>
                    </w:rPr>
                    <w:t>排污许可证申请与核发技术</w:t>
                  </w:r>
                  <w:r>
                    <w:rPr>
                      <w:color w:val="auto"/>
                      <w:spacing w:val="8"/>
                      <w:sz w:val="21"/>
                      <w:szCs w:val="21"/>
                      <w:lang w:eastAsia="zh-CN"/>
                    </w:rPr>
                    <w:t>规范内容要求</w:t>
                  </w:r>
                </w:p>
              </w:tc>
              <w:tc>
                <w:tcPr>
                  <w:tcW w:w="733" w:type="dxa"/>
                  <w:tcBorders>
                    <w:top w:val="single" w:color="000000" w:sz="10" w:space="0"/>
                    <w:right w:val="nil"/>
                  </w:tcBorders>
                  <w:vAlign w:val="center"/>
                </w:tcPr>
                <w:p>
                  <w:pPr>
                    <w:pStyle w:val="100"/>
                    <w:spacing w:before="77" w:line="228" w:lineRule="auto"/>
                    <w:jc w:val="center"/>
                    <w:rPr>
                      <w:color w:val="auto"/>
                      <w:sz w:val="21"/>
                      <w:szCs w:val="21"/>
                    </w:rPr>
                  </w:pPr>
                  <w:r>
                    <w:rPr>
                      <w:color w:val="auto"/>
                      <w:spacing w:val="3"/>
                      <w:sz w:val="21"/>
                      <w:szCs w:val="21"/>
                    </w:rPr>
                    <w:t>是否可行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12" w:hRule="atLeast"/>
              </w:trPr>
              <w:tc>
                <w:tcPr>
                  <w:tcW w:w="1217" w:type="dxa"/>
                  <w:tcBorders>
                    <w:left w:val="nil"/>
                  </w:tcBorders>
                  <w:vAlign w:val="center"/>
                </w:tcPr>
                <w:p>
                  <w:pPr>
                    <w:pStyle w:val="100"/>
                    <w:spacing w:before="65" w:line="228" w:lineRule="auto"/>
                    <w:jc w:val="center"/>
                    <w:rPr>
                      <w:color w:val="auto"/>
                      <w:sz w:val="21"/>
                      <w:szCs w:val="21"/>
                    </w:rPr>
                  </w:pPr>
                  <w:r>
                    <w:rPr>
                      <w:color w:val="auto"/>
                      <w:spacing w:val="5"/>
                      <w:sz w:val="21"/>
                      <w:szCs w:val="21"/>
                    </w:rPr>
                    <w:t>导热油炉</w:t>
                  </w:r>
                </w:p>
              </w:tc>
              <w:tc>
                <w:tcPr>
                  <w:tcW w:w="1458" w:type="dxa"/>
                  <w:vAlign w:val="center"/>
                </w:tcPr>
                <w:p>
                  <w:pPr>
                    <w:pStyle w:val="100"/>
                    <w:spacing w:before="78" w:line="227" w:lineRule="auto"/>
                    <w:jc w:val="center"/>
                    <w:rPr>
                      <w:color w:val="auto"/>
                      <w:sz w:val="21"/>
                      <w:szCs w:val="21"/>
                      <w:lang w:eastAsia="zh-CN"/>
                    </w:rPr>
                  </w:pPr>
                  <w:r>
                    <w:rPr>
                      <w:color w:val="auto"/>
                      <w:spacing w:val="-4"/>
                      <w:sz w:val="21"/>
                      <w:szCs w:val="21"/>
                      <w:lang w:eastAsia="zh-CN"/>
                    </w:rPr>
                    <w:t>颗粒物、二氧化</w:t>
                  </w:r>
                  <w:r>
                    <w:rPr>
                      <w:color w:val="auto"/>
                      <w:spacing w:val="3"/>
                      <w:sz w:val="21"/>
                      <w:szCs w:val="21"/>
                      <w:lang w:eastAsia="zh-CN"/>
                    </w:rPr>
                    <w:t>硫、氮氧化物、</w:t>
                  </w:r>
                  <w:r>
                    <w:rPr>
                      <w:color w:val="auto"/>
                      <w:spacing w:val="8"/>
                      <w:sz w:val="21"/>
                      <w:szCs w:val="21"/>
                      <w:lang w:eastAsia="zh-CN"/>
                    </w:rPr>
                    <w:t>林格曼反黑度</w:t>
                  </w:r>
                </w:p>
              </w:tc>
              <w:tc>
                <w:tcPr>
                  <w:tcW w:w="2443" w:type="dxa"/>
                  <w:vAlign w:val="center"/>
                </w:tcPr>
                <w:p>
                  <w:pPr>
                    <w:pStyle w:val="100"/>
                    <w:spacing w:before="214" w:line="227" w:lineRule="auto"/>
                    <w:jc w:val="center"/>
                    <w:rPr>
                      <w:color w:val="auto"/>
                      <w:sz w:val="21"/>
                      <w:szCs w:val="21"/>
                      <w:lang w:eastAsia="zh-CN"/>
                    </w:rPr>
                  </w:pPr>
                  <w:r>
                    <w:rPr>
                      <w:color w:val="auto"/>
                      <w:spacing w:val="7"/>
                      <w:sz w:val="21"/>
                      <w:szCs w:val="21"/>
                      <w:lang w:eastAsia="zh-CN"/>
                    </w:rPr>
                    <w:t>低氮燃烧技术</w:t>
                  </w:r>
                  <w:r>
                    <w:rPr>
                      <w:rFonts w:ascii="Times New Roman" w:hAnsi="Times New Roman" w:eastAsia="Times New Roman" w:cs="Times New Roman"/>
                      <w:color w:val="auto"/>
                      <w:spacing w:val="7"/>
                      <w:sz w:val="21"/>
                      <w:szCs w:val="21"/>
                      <w:lang w:eastAsia="zh-CN"/>
                    </w:rPr>
                    <w:t>+</w:t>
                  </w:r>
                  <w:r>
                    <w:rPr>
                      <w:rFonts w:hint="eastAsia" w:ascii="Times New Roman" w:hAnsi="Times New Roman" w:cs="Times New Roman"/>
                      <w:color w:val="auto"/>
                      <w:spacing w:val="7"/>
                      <w:sz w:val="21"/>
                      <w:szCs w:val="21"/>
                      <w:lang w:eastAsia="zh-CN"/>
                    </w:rPr>
                    <w:t>1</w:t>
                  </w:r>
                  <w:r>
                    <w:rPr>
                      <w:rFonts w:hint="eastAsia" w:ascii="Times New Roman" w:hAnsi="Times New Roman" w:cs="Times New Roman"/>
                      <w:color w:val="auto"/>
                      <w:spacing w:val="7"/>
                      <w:sz w:val="21"/>
                      <w:szCs w:val="21"/>
                      <w:lang w:val="en-US" w:eastAsia="zh-CN"/>
                    </w:rPr>
                    <w:t>5</w:t>
                  </w:r>
                  <w:r>
                    <w:rPr>
                      <w:color w:val="auto"/>
                      <w:spacing w:val="7"/>
                      <w:sz w:val="21"/>
                      <w:szCs w:val="21"/>
                      <w:lang w:eastAsia="zh-CN"/>
                    </w:rPr>
                    <w:t>米高排气</w:t>
                  </w:r>
                  <w:r>
                    <w:rPr>
                      <w:color w:val="auto"/>
                      <w:sz w:val="21"/>
                      <w:szCs w:val="21"/>
                      <w:lang w:eastAsia="zh-CN"/>
                    </w:rPr>
                    <w:t>筒</w:t>
                  </w:r>
                </w:p>
              </w:tc>
              <w:tc>
                <w:tcPr>
                  <w:tcW w:w="2583" w:type="dxa"/>
                  <w:vAlign w:val="center"/>
                </w:tcPr>
                <w:p>
                  <w:pPr>
                    <w:pStyle w:val="100"/>
                    <w:spacing w:before="214" w:line="227" w:lineRule="auto"/>
                    <w:jc w:val="center"/>
                    <w:rPr>
                      <w:color w:val="auto"/>
                      <w:sz w:val="21"/>
                      <w:szCs w:val="21"/>
                      <w:lang w:eastAsia="zh-CN"/>
                    </w:rPr>
                  </w:pPr>
                  <w:r>
                    <w:rPr>
                      <w:color w:val="auto"/>
                      <w:spacing w:val="9"/>
                      <w:sz w:val="21"/>
                      <w:szCs w:val="21"/>
                      <w:lang w:eastAsia="zh-CN"/>
                    </w:rPr>
                    <w:t>燃</w:t>
                  </w:r>
                  <w:r>
                    <w:rPr>
                      <w:rFonts w:hint="eastAsia"/>
                      <w:color w:val="auto"/>
                      <w:spacing w:val="9"/>
                      <w:sz w:val="21"/>
                      <w:szCs w:val="21"/>
                      <w:lang w:val="en-US" w:eastAsia="zh-CN"/>
                    </w:rPr>
                    <w:t>油</w:t>
                  </w:r>
                  <w:r>
                    <w:rPr>
                      <w:color w:val="auto"/>
                      <w:spacing w:val="9"/>
                      <w:sz w:val="21"/>
                      <w:szCs w:val="21"/>
                      <w:lang w:eastAsia="zh-CN"/>
                    </w:rPr>
                    <w:t>锅炉采用低氮燃烧</w:t>
                  </w:r>
                  <w:r>
                    <w:rPr>
                      <w:color w:val="auto"/>
                      <w:spacing w:val="4"/>
                      <w:sz w:val="21"/>
                      <w:szCs w:val="21"/>
                      <w:lang w:eastAsia="zh-CN"/>
                    </w:rPr>
                    <w:t>技术</w:t>
                  </w:r>
                </w:p>
              </w:tc>
              <w:tc>
                <w:tcPr>
                  <w:tcW w:w="733" w:type="dxa"/>
                  <w:tcBorders>
                    <w:right w:val="nil"/>
                  </w:tcBorders>
                  <w:vAlign w:val="center"/>
                </w:tcPr>
                <w:p>
                  <w:pPr>
                    <w:pStyle w:val="100"/>
                    <w:spacing w:before="65" w:line="228" w:lineRule="auto"/>
                    <w:jc w:val="center"/>
                    <w:rPr>
                      <w:color w:val="auto"/>
                      <w:sz w:val="21"/>
                      <w:szCs w:val="21"/>
                    </w:rPr>
                  </w:pPr>
                  <w:r>
                    <w:rPr>
                      <w:color w:val="auto"/>
                      <w:spacing w:val="3"/>
                      <w:sz w:val="21"/>
                      <w:szCs w:val="21"/>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3" w:hRule="atLeast"/>
              </w:trPr>
              <w:tc>
                <w:tcPr>
                  <w:tcW w:w="1217" w:type="dxa"/>
                  <w:tcBorders>
                    <w:left w:val="nil"/>
                  </w:tcBorders>
                  <w:vAlign w:val="center"/>
                </w:tcPr>
                <w:p>
                  <w:pPr>
                    <w:pStyle w:val="100"/>
                    <w:spacing w:before="87" w:line="227" w:lineRule="auto"/>
                    <w:jc w:val="center"/>
                    <w:rPr>
                      <w:color w:val="auto"/>
                      <w:sz w:val="21"/>
                      <w:szCs w:val="21"/>
                    </w:rPr>
                  </w:pPr>
                  <w:r>
                    <w:rPr>
                      <w:color w:val="auto"/>
                      <w:spacing w:val="7"/>
                      <w:sz w:val="21"/>
                      <w:szCs w:val="21"/>
                    </w:rPr>
                    <w:t>骨料干燥系</w:t>
                  </w:r>
                  <w:r>
                    <w:rPr>
                      <w:color w:val="auto"/>
                      <w:spacing w:val="5"/>
                      <w:sz w:val="21"/>
                      <w:szCs w:val="21"/>
                    </w:rPr>
                    <w:t>统废气</w:t>
                  </w:r>
                </w:p>
              </w:tc>
              <w:tc>
                <w:tcPr>
                  <w:tcW w:w="1458" w:type="dxa"/>
                  <w:vAlign w:val="center"/>
                </w:tcPr>
                <w:p>
                  <w:pPr>
                    <w:pStyle w:val="100"/>
                    <w:spacing w:before="86" w:line="254" w:lineRule="auto"/>
                    <w:ind w:left="175" w:right="107" w:hanging="62"/>
                    <w:jc w:val="center"/>
                    <w:rPr>
                      <w:color w:val="auto"/>
                      <w:sz w:val="21"/>
                      <w:szCs w:val="21"/>
                      <w:lang w:eastAsia="zh-CN"/>
                    </w:rPr>
                  </w:pPr>
                  <w:r>
                    <w:rPr>
                      <w:color w:val="auto"/>
                      <w:spacing w:val="-4"/>
                      <w:sz w:val="21"/>
                      <w:szCs w:val="21"/>
                      <w:lang w:eastAsia="zh-CN"/>
                    </w:rPr>
                    <w:t>颗粒物、二氧化</w:t>
                  </w:r>
                  <w:r>
                    <w:rPr>
                      <w:color w:val="auto"/>
                      <w:spacing w:val="8"/>
                      <w:sz w:val="21"/>
                      <w:szCs w:val="21"/>
                      <w:lang w:eastAsia="zh-CN"/>
                    </w:rPr>
                    <w:t>硫、氮氧化物</w:t>
                  </w:r>
                </w:p>
              </w:tc>
              <w:tc>
                <w:tcPr>
                  <w:tcW w:w="2443" w:type="dxa"/>
                  <w:vAlign w:val="center"/>
                </w:tcPr>
                <w:p>
                  <w:pPr>
                    <w:pStyle w:val="100"/>
                    <w:spacing w:before="224" w:line="227" w:lineRule="auto"/>
                    <w:jc w:val="center"/>
                    <w:rPr>
                      <w:rFonts w:hint="default" w:ascii="宋体" w:hAnsi="宋体" w:eastAsia="宋体" w:cs="宋体"/>
                      <w:color w:val="auto"/>
                      <w:spacing w:val="8"/>
                      <w:sz w:val="21"/>
                      <w:szCs w:val="21"/>
                      <w:lang w:val="en-US" w:eastAsia="zh-CN"/>
                    </w:rPr>
                  </w:pPr>
                  <w:r>
                    <w:rPr>
                      <w:rFonts w:hint="eastAsia" w:cs="宋体"/>
                      <w:color w:val="auto"/>
                      <w:spacing w:val="8"/>
                      <w:sz w:val="21"/>
                      <w:szCs w:val="21"/>
                      <w:lang w:val="en-US" w:eastAsia="zh-CN"/>
                    </w:rPr>
                    <w:t>旋风</w:t>
                  </w:r>
                  <w:r>
                    <w:rPr>
                      <w:rFonts w:hint="eastAsia" w:ascii="宋体" w:hAnsi="宋体" w:eastAsia="宋体" w:cs="宋体"/>
                      <w:color w:val="auto"/>
                      <w:spacing w:val="8"/>
                      <w:sz w:val="21"/>
                      <w:szCs w:val="21"/>
                      <w:lang w:val="en-US" w:eastAsia="zh-CN"/>
                    </w:rPr>
                    <w:t>+布袋除尘器</w:t>
                  </w:r>
                </w:p>
              </w:tc>
              <w:tc>
                <w:tcPr>
                  <w:tcW w:w="2583" w:type="dxa"/>
                  <w:vAlign w:val="center"/>
                </w:tcPr>
                <w:p>
                  <w:pPr>
                    <w:pStyle w:val="100"/>
                    <w:spacing w:before="224" w:line="227" w:lineRule="auto"/>
                    <w:jc w:val="center"/>
                    <w:rPr>
                      <w:rFonts w:hint="default" w:ascii="宋体" w:hAnsi="宋体" w:eastAsia="宋体" w:cs="宋体"/>
                      <w:color w:val="auto"/>
                      <w:spacing w:val="8"/>
                      <w:sz w:val="21"/>
                      <w:szCs w:val="21"/>
                      <w:lang w:val="en-US" w:eastAsia="zh-CN"/>
                    </w:rPr>
                  </w:pPr>
                  <w:r>
                    <w:rPr>
                      <w:rFonts w:hint="eastAsia" w:cs="宋体"/>
                      <w:color w:val="auto"/>
                      <w:spacing w:val="8"/>
                      <w:sz w:val="21"/>
                      <w:szCs w:val="21"/>
                      <w:lang w:val="en-US" w:eastAsia="zh-CN"/>
                    </w:rPr>
                    <w:t>旋风+袋式除尘器、旋风除尘+静电除尘</w:t>
                  </w:r>
                </w:p>
              </w:tc>
              <w:tc>
                <w:tcPr>
                  <w:tcW w:w="733" w:type="dxa"/>
                  <w:tcBorders>
                    <w:right w:val="nil"/>
                  </w:tcBorders>
                  <w:vAlign w:val="center"/>
                </w:tcPr>
                <w:p>
                  <w:pPr>
                    <w:pStyle w:val="100"/>
                    <w:spacing w:before="224" w:line="227" w:lineRule="auto"/>
                    <w:jc w:val="center"/>
                    <w:rPr>
                      <w:rFonts w:hint="eastAsia" w:ascii="宋体" w:hAnsi="宋体" w:eastAsia="宋体" w:cs="宋体"/>
                      <w:color w:val="auto"/>
                      <w:spacing w:val="8"/>
                      <w:sz w:val="21"/>
                      <w:szCs w:val="21"/>
                      <w:lang w:val="en-US" w:eastAsia="zh-CN"/>
                    </w:rPr>
                  </w:pPr>
                  <w:r>
                    <w:rPr>
                      <w:rFonts w:hint="eastAsia" w:ascii="宋体" w:hAnsi="宋体" w:eastAsia="宋体" w:cs="宋体"/>
                      <w:color w:val="auto"/>
                      <w:spacing w:val="8"/>
                      <w:sz w:val="21"/>
                      <w:szCs w:val="21"/>
                      <w:lang w:val="en-US" w:eastAsia="zh-CN"/>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3" w:hRule="atLeast"/>
              </w:trPr>
              <w:tc>
                <w:tcPr>
                  <w:tcW w:w="1217" w:type="dxa"/>
                  <w:tcBorders>
                    <w:left w:val="nil"/>
                  </w:tcBorders>
                  <w:shd w:val="clear" w:color="auto" w:fill="auto"/>
                  <w:vAlign w:val="center"/>
                </w:tcPr>
                <w:p>
                  <w:pPr>
                    <w:pStyle w:val="100"/>
                    <w:spacing w:before="209" w:line="228" w:lineRule="auto"/>
                    <w:jc w:val="center"/>
                    <w:rPr>
                      <w:color w:val="auto"/>
                      <w:sz w:val="21"/>
                      <w:szCs w:val="21"/>
                    </w:rPr>
                  </w:pPr>
                  <w:r>
                    <w:rPr>
                      <w:color w:val="auto"/>
                      <w:spacing w:val="7"/>
                      <w:sz w:val="21"/>
                      <w:szCs w:val="21"/>
                    </w:rPr>
                    <w:t>废气类别</w:t>
                  </w:r>
                </w:p>
              </w:tc>
              <w:tc>
                <w:tcPr>
                  <w:tcW w:w="1458" w:type="dxa"/>
                  <w:shd w:val="clear" w:color="auto" w:fill="auto"/>
                  <w:vAlign w:val="center"/>
                </w:tcPr>
                <w:p>
                  <w:pPr>
                    <w:pStyle w:val="100"/>
                    <w:spacing w:before="210" w:line="228" w:lineRule="auto"/>
                    <w:jc w:val="center"/>
                    <w:rPr>
                      <w:color w:val="auto"/>
                      <w:sz w:val="21"/>
                      <w:szCs w:val="21"/>
                    </w:rPr>
                  </w:pPr>
                  <w:r>
                    <w:rPr>
                      <w:color w:val="auto"/>
                      <w:spacing w:val="7"/>
                      <w:sz w:val="21"/>
                      <w:szCs w:val="21"/>
                    </w:rPr>
                    <w:t>主要污染物</w:t>
                  </w:r>
                </w:p>
              </w:tc>
              <w:tc>
                <w:tcPr>
                  <w:tcW w:w="2443" w:type="dxa"/>
                  <w:shd w:val="clear" w:color="auto" w:fill="auto"/>
                  <w:vAlign w:val="center"/>
                </w:tcPr>
                <w:p>
                  <w:pPr>
                    <w:pStyle w:val="100"/>
                    <w:spacing w:before="210" w:line="227" w:lineRule="auto"/>
                    <w:jc w:val="center"/>
                    <w:rPr>
                      <w:color w:val="auto"/>
                      <w:sz w:val="21"/>
                      <w:szCs w:val="21"/>
                    </w:rPr>
                  </w:pPr>
                  <w:r>
                    <w:rPr>
                      <w:color w:val="auto"/>
                      <w:spacing w:val="8"/>
                      <w:sz w:val="21"/>
                      <w:szCs w:val="21"/>
                    </w:rPr>
                    <w:t>项目采取的措施</w:t>
                  </w:r>
                </w:p>
              </w:tc>
              <w:tc>
                <w:tcPr>
                  <w:tcW w:w="2583" w:type="dxa"/>
                  <w:shd w:val="clear" w:color="auto" w:fill="auto"/>
                  <w:vAlign w:val="center"/>
                </w:tcPr>
                <w:p>
                  <w:pPr>
                    <w:pStyle w:val="100"/>
                    <w:spacing w:before="75" w:line="254" w:lineRule="auto"/>
                    <w:ind w:right="160"/>
                    <w:jc w:val="center"/>
                    <w:rPr>
                      <w:color w:val="auto"/>
                      <w:sz w:val="21"/>
                      <w:szCs w:val="21"/>
                      <w:lang w:eastAsia="zh-CN"/>
                    </w:rPr>
                  </w:pPr>
                  <w:r>
                    <w:rPr>
                      <w:color w:val="auto"/>
                      <w:spacing w:val="9"/>
                      <w:sz w:val="21"/>
                      <w:szCs w:val="21"/>
                      <w:lang w:eastAsia="zh-CN"/>
                    </w:rPr>
                    <w:t>排污许可证申请与核发技术</w:t>
                  </w:r>
                  <w:r>
                    <w:rPr>
                      <w:color w:val="auto"/>
                      <w:spacing w:val="8"/>
                      <w:sz w:val="21"/>
                      <w:szCs w:val="21"/>
                      <w:lang w:eastAsia="zh-CN"/>
                    </w:rPr>
                    <w:t>规范内容要求</w:t>
                  </w:r>
                </w:p>
              </w:tc>
              <w:tc>
                <w:tcPr>
                  <w:tcW w:w="733" w:type="dxa"/>
                  <w:tcBorders>
                    <w:right w:val="nil"/>
                  </w:tcBorders>
                  <w:shd w:val="clear" w:color="auto" w:fill="auto"/>
                  <w:vAlign w:val="center"/>
                </w:tcPr>
                <w:p>
                  <w:pPr>
                    <w:pStyle w:val="100"/>
                    <w:spacing w:before="76" w:line="228" w:lineRule="auto"/>
                    <w:jc w:val="center"/>
                    <w:rPr>
                      <w:color w:val="auto"/>
                      <w:sz w:val="21"/>
                      <w:szCs w:val="21"/>
                    </w:rPr>
                  </w:pPr>
                  <w:r>
                    <w:rPr>
                      <w:color w:val="auto"/>
                      <w:spacing w:val="3"/>
                      <w:sz w:val="21"/>
                      <w:szCs w:val="21"/>
                    </w:rPr>
                    <w:t>是否可行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3" w:hRule="atLeast"/>
              </w:trPr>
              <w:tc>
                <w:tcPr>
                  <w:tcW w:w="1217" w:type="dxa"/>
                  <w:tcBorders>
                    <w:left w:val="nil"/>
                  </w:tcBorders>
                  <w:shd w:val="clear" w:color="auto" w:fill="auto"/>
                  <w:vAlign w:val="center"/>
                </w:tcPr>
                <w:p>
                  <w:pPr>
                    <w:pStyle w:val="100"/>
                    <w:spacing w:before="73" w:line="227" w:lineRule="auto"/>
                    <w:jc w:val="center"/>
                    <w:rPr>
                      <w:color w:val="auto"/>
                      <w:sz w:val="21"/>
                      <w:szCs w:val="21"/>
                      <w:lang w:eastAsia="zh-CN"/>
                    </w:rPr>
                  </w:pPr>
                  <w:r>
                    <w:rPr>
                      <w:color w:val="auto"/>
                      <w:spacing w:val="8"/>
                      <w:sz w:val="21"/>
                      <w:szCs w:val="21"/>
                      <w:lang w:eastAsia="zh-CN"/>
                    </w:rPr>
                    <w:t>沥青罐呼吸废气、成品</w:t>
                  </w:r>
                  <w:r>
                    <w:rPr>
                      <w:color w:val="auto"/>
                      <w:spacing w:val="2"/>
                      <w:sz w:val="21"/>
                      <w:szCs w:val="21"/>
                      <w:lang w:eastAsia="zh-CN"/>
                    </w:rPr>
                    <w:t>出料废气</w:t>
                  </w:r>
                </w:p>
              </w:tc>
              <w:tc>
                <w:tcPr>
                  <w:tcW w:w="1458" w:type="dxa"/>
                  <w:shd w:val="clear" w:color="auto" w:fill="auto"/>
                  <w:vAlign w:val="center"/>
                </w:tcPr>
                <w:p>
                  <w:pPr>
                    <w:pStyle w:val="100"/>
                    <w:spacing w:before="208" w:line="227" w:lineRule="auto"/>
                    <w:jc w:val="center"/>
                    <w:rPr>
                      <w:rFonts w:hint="default" w:eastAsia="宋体"/>
                      <w:color w:val="auto"/>
                      <w:sz w:val="21"/>
                      <w:szCs w:val="21"/>
                      <w:lang w:val="en-US" w:eastAsia="zh-CN"/>
                    </w:rPr>
                  </w:pPr>
                  <w:r>
                    <w:rPr>
                      <w:color w:val="auto"/>
                      <w:spacing w:val="8"/>
                      <w:sz w:val="21"/>
                      <w:szCs w:val="21"/>
                    </w:rPr>
                    <w:t>沥青烟、苯并</w:t>
                  </w:r>
                  <w:r>
                    <w:rPr>
                      <w:rFonts w:ascii="Times New Roman" w:hAnsi="Times New Roman" w:eastAsia="Times New Roman" w:cs="Times New Roman"/>
                      <w:color w:val="auto"/>
                      <w:sz w:val="21"/>
                      <w:szCs w:val="21"/>
                    </w:rPr>
                    <w:t>[a]</w:t>
                  </w:r>
                  <w:r>
                    <w:rPr>
                      <w:color w:val="auto"/>
                      <w:sz w:val="21"/>
                      <w:szCs w:val="21"/>
                    </w:rPr>
                    <w:t>芘</w:t>
                  </w:r>
                  <w:r>
                    <w:rPr>
                      <w:rFonts w:hint="eastAsia"/>
                      <w:color w:val="auto"/>
                      <w:sz w:val="21"/>
                      <w:szCs w:val="21"/>
                      <w:lang w:eastAsia="zh-CN"/>
                    </w:rPr>
                    <w:t>、</w:t>
                  </w:r>
                  <w:r>
                    <w:rPr>
                      <w:rFonts w:hint="eastAsia"/>
                      <w:color w:val="auto"/>
                      <w:sz w:val="21"/>
                      <w:szCs w:val="21"/>
                      <w:lang w:val="en-US" w:eastAsia="zh-CN"/>
                    </w:rPr>
                    <w:t>非甲烷总烃</w:t>
                  </w:r>
                </w:p>
              </w:tc>
              <w:tc>
                <w:tcPr>
                  <w:tcW w:w="2443" w:type="dxa"/>
                  <w:shd w:val="clear" w:color="auto" w:fill="auto"/>
                  <w:vAlign w:val="center"/>
                </w:tcPr>
                <w:p>
                  <w:pPr>
                    <w:pStyle w:val="100"/>
                    <w:spacing w:before="65" w:line="227" w:lineRule="auto"/>
                    <w:jc w:val="center"/>
                    <w:rPr>
                      <w:color w:val="auto"/>
                      <w:sz w:val="21"/>
                      <w:szCs w:val="21"/>
                    </w:rPr>
                  </w:pPr>
                  <w:r>
                    <w:rPr>
                      <w:color w:val="auto"/>
                      <w:spacing w:val="7"/>
                      <w:sz w:val="21"/>
                      <w:szCs w:val="21"/>
                    </w:rPr>
                    <w:t>活性炭吸附</w:t>
                  </w:r>
                </w:p>
              </w:tc>
              <w:tc>
                <w:tcPr>
                  <w:tcW w:w="2583" w:type="dxa"/>
                  <w:shd w:val="clear" w:color="auto" w:fill="auto"/>
                  <w:vAlign w:val="center"/>
                </w:tcPr>
                <w:p>
                  <w:pPr>
                    <w:pStyle w:val="100"/>
                    <w:spacing w:before="207" w:line="254" w:lineRule="auto"/>
                    <w:ind w:right="105"/>
                    <w:jc w:val="center"/>
                    <w:rPr>
                      <w:color w:val="auto"/>
                      <w:sz w:val="21"/>
                      <w:szCs w:val="21"/>
                      <w:lang w:eastAsia="zh-CN"/>
                    </w:rPr>
                  </w:pPr>
                  <w:r>
                    <w:rPr>
                      <w:color w:val="auto"/>
                      <w:spacing w:val="1"/>
                      <w:sz w:val="21"/>
                      <w:szCs w:val="21"/>
                      <w:lang w:eastAsia="zh-CN"/>
                    </w:rPr>
                    <w:t>活性炭吸附、电捕焦油器、电</w:t>
                  </w:r>
                  <w:r>
                    <w:rPr>
                      <w:color w:val="auto"/>
                      <w:sz w:val="21"/>
                      <w:szCs w:val="21"/>
                      <w:lang w:eastAsia="zh-CN"/>
                    </w:rPr>
                    <w:t xml:space="preserve"> </w:t>
                  </w:r>
                  <w:r>
                    <w:rPr>
                      <w:color w:val="auto"/>
                      <w:spacing w:val="8"/>
                      <w:sz w:val="21"/>
                      <w:szCs w:val="21"/>
                      <w:lang w:eastAsia="zh-CN"/>
                    </w:rPr>
                    <w:t>捕焦油器</w:t>
                  </w:r>
                  <w:r>
                    <w:rPr>
                      <w:rFonts w:ascii="Times New Roman" w:hAnsi="Times New Roman" w:eastAsia="Times New Roman" w:cs="Times New Roman"/>
                      <w:color w:val="auto"/>
                      <w:spacing w:val="8"/>
                      <w:sz w:val="21"/>
                      <w:szCs w:val="21"/>
                      <w:lang w:eastAsia="zh-CN"/>
                    </w:rPr>
                    <w:t>+</w:t>
                  </w:r>
                  <w:r>
                    <w:rPr>
                      <w:color w:val="auto"/>
                      <w:spacing w:val="8"/>
                      <w:sz w:val="21"/>
                      <w:szCs w:val="21"/>
                      <w:lang w:eastAsia="zh-CN"/>
                    </w:rPr>
                    <w:t>活性炭吸附</w:t>
                  </w:r>
                </w:p>
              </w:tc>
              <w:tc>
                <w:tcPr>
                  <w:tcW w:w="733" w:type="dxa"/>
                  <w:tcBorders>
                    <w:right w:val="nil"/>
                  </w:tcBorders>
                  <w:shd w:val="clear" w:color="auto" w:fill="auto"/>
                  <w:vAlign w:val="center"/>
                </w:tcPr>
                <w:p>
                  <w:pPr>
                    <w:pStyle w:val="100"/>
                    <w:spacing w:before="65" w:line="228" w:lineRule="auto"/>
                    <w:jc w:val="center"/>
                    <w:rPr>
                      <w:color w:val="auto"/>
                      <w:sz w:val="21"/>
                      <w:szCs w:val="21"/>
                    </w:rPr>
                  </w:pPr>
                  <w:r>
                    <w:rPr>
                      <w:color w:val="auto"/>
                      <w:spacing w:val="3"/>
                      <w:sz w:val="21"/>
                      <w:szCs w:val="21"/>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3" w:hRule="atLeast"/>
              </w:trPr>
              <w:tc>
                <w:tcPr>
                  <w:tcW w:w="1217" w:type="dxa"/>
                  <w:tcBorders>
                    <w:left w:val="nil"/>
                  </w:tcBorders>
                  <w:shd w:val="clear" w:color="auto" w:fill="auto"/>
                  <w:vAlign w:val="center"/>
                </w:tcPr>
                <w:p>
                  <w:pPr>
                    <w:pStyle w:val="100"/>
                    <w:spacing w:before="77" w:line="228" w:lineRule="auto"/>
                    <w:jc w:val="center"/>
                    <w:rPr>
                      <w:color w:val="auto"/>
                      <w:sz w:val="21"/>
                      <w:szCs w:val="21"/>
                    </w:rPr>
                  </w:pPr>
                  <w:r>
                    <w:rPr>
                      <w:color w:val="auto"/>
                      <w:spacing w:val="8"/>
                      <w:sz w:val="21"/>
                      <w:szCs w:val="21"/>
                    </w:rPr>
                    <w:t>粉料筒仓废</w:t>
                  </w:r>
                  <w:r>
                    <w:rPr>
                      <w:color w:val="auto"/>
                      <w:sz w:val="21"/>
                      <w:szCs w:val="21"/>
                    </w:rPr>
                    <w:t>气</w:t>
                  </w:r>
                </w:p>
              </w:tc>
              <w:tc>
                <w:tcPr>
                  <w:tcW w:w="1458" w:type="dxa"/>
                  <w:shd w:val="clear" w:color="auto" w:fill="auto"/>
                  <w:vAlign w:val="center"/>
                </w:tcPr>
                <w:p>
                  <w:pPr>
                    <w:pStyle w:val="100"/>
                    <w:spacing w:before="212" w:line="228" w:lineRule="auto"/>
                    <w:jc w:val="center"/>
                    <w:rPr>
                      <w:color w:val="auto"/>
                      <w:sz w:val="21"/>
                      <w:szCs w:val="21"/>
                    </w:rPr>
                  </w:pPr>
                  <w:r>
                    <w:rPr>
                      <w:color w:val="auto"/>
                      <w:spacing w:val="7"/>
                      <w:sz w:val="21"/>
                      <w:szCs w:val="21"/>
                    </w:rPr>
                    <w:t>颗粒物</w:t>
                  </w:r>
                </w:p>
              </w:tc>
              <w:tc>
                <w:tcPr>
                  <w:tcW w:w="2443" w:type="dxa"/>
                  <w:shd w:val="clear" w:color="auto" w:fill="auto"/>
                  <w:vAlign w:val="center"/>
                </w:tcPr>
                <w:p>
                  <w:pPr>
                    <w:pStyle w:val="100"/>
                    <w:spacing w:before="211" w:line="227" w:lineRule="auto"/>
                    <w:jc w:val="center"/>
                    <w:rPr>
                      <w:color w:val="auto"/>
                      <w:sz w:val="21"/>
                      <w:szCs w:val="21"/>
                    </w:rPr>
                  </w:pPr>
                  <w:r>
                    <w:rPr>
                      <w:color w:val="auto"/>
                      <w:spacing w:val="7"/>
                      <w:sz w:val="21"/>
                      <w:szCs w:val="21"/>
                    </w:rPr>
                    <w:t>布袋除尘</w:t>
                  </w:r>
                </w:p>
              </w:tc>
              <w:tc>
                <w:tcPr>
                  <w:tcW w:w="2583" w:type="dxa"/>
                  <w:shd w:val="clear" w:color="auto" w:fill="auto"/>
                  <w:vAlign w:val="center"/>
                </w:tcPr>
                <w:p>
                  <w:pPr>
                    <w:pStyle w:val="100"/>
                    <w:spacing w:before="77" w:line="227" w:lineRule="auto"/>
                    <w:jc w:val="center"/>
                    <w:rPr>
                      <w:color w:val="auto"/>
                      <w:sz w:val="21"/>
                      <w:szCs w:val="21"/>
                      <w:lang w:eastAsia="zh-CN"/>
                    </w:rPr>
                  </w:pPr>
                  <w:r>
                    <w:rPr>
                      <w:color w:val="auto"/>
                      <w:spacing w:val="1"/>
                      <w:sz w:val="21"/>
                      <w:szCs w:val="21"/>
                      <w:lang w:eastAsia="zh-CN"/>
                    </w:rPr>
                    <w:t>布袋除尘、旋风除尘、静电除</w:t>
                  </w:r>
                  <w:r>
                    <w:rPr>
                      <w:color w:val="auto"/>
                      <w:sz w:val="21"/>
                      <w:szCs w:val="21"/>
                      <w:lang w:eastAsia="zh-CN"/>
                    </w:rPr>
                    <w:t>尘</w:t>
                  </w:r>
                </w:p>
              </w:tc>
              <w:tc>
                <w:tcPr>
                  <w:tcW w:w="733" w:type="dxa"/>
                  <w:tcBorders>
                    <w:right w:val="nil"/>
                  </w:tcBorders>
                  <w:shd w:val="clear" w:color="auto" w:fill="auto"/>
                  <w:vAlign w:val="center"/>
                </w:tcPr>
                <w:p>
                  <w:pPr>
                    <w:pStyle w:val="100"/>
                    <w:spacing w:before="212" w:line="228" w:lineRule="auto"/>
                    <w:jc w:val="center"/>
                    <w:rPr>
                      <w:color w:val="auto"/>
                      <w:sz w:val="21"/>
                      <w:szCs w:val="21"/>
                      <w:lang w:eastAsia="zh-CN"/>
                    </w:rPr>
                  </w:pPr>
                  <w:r>
                    <w:rPr>
                      <w:color w:val="auto"/>
                      <w:spacing w:val="3"/>
                      <w:sz w:val="21"/>
                      <w:szCs w:val="21"/>
                      <w:lang w:eastAsia="zh-CN"/>
                    </w:rPr>
                    <w:t>可行</w:t>
                  </w:r>
                </w:p>
              </w:tc>
            </w:tr>
          </w:tbl>
          <w:p>
            <w:pPr>
              <w:pStyle w:val="37"/>
              <w:spacing w:line="360" w:lineRule="auto"/>
              <w:ind w:firstLine="480"/>
              <w:rPr>
                <w:rFonts w:hint="eastAsia"/>
                <w:color w:val="auto"/>
                <w:szCs w:val="24"/>
                <w:lang w:val="en-US" w:eastAsia="zh-CN"/>
              </w:rPr>
            </w:pPr>
            <w:r>
              <w:rPr>
                <w:rFonts w:hint="eastAsia"/>
                <w:color w:val="auto"/>
                <w:szCs w:val="24"/>
                <w:lang w:val="en-US" w:eastAsia="zh-CN"/>
              </w:rPr>
              <w:t>排气筒高度合理性分析：</w:t>
            </w:r>
          </w:p>
          <w:p>
            <w:pPr>
              <w:pStyle w:val="37"/>
              <w:spacing w:line="360" w:lineRule="auto"/>
              <w:ind w:firstLine="480"/>
              <w:rPr>
                <w:rFonts w:hint="default" w:eastAsia="宋体"/>
                <w:b/>
                <w:bCs/>
                <w:color w:val="auto"/>
                <w:szCs w:val="24"/>
                <w:lang w:val="en-US" w:eastAsia="zh-CN"/>
              </w:rPr>
            </w:pPr>
            <w:r>
              <w:rPr>
                <w:rFonts w:hint="eastAsia"/>
                <w:color w:val="auto"/>
                <w:szCs w:val="24"/>
                <w:lang w:val="en-US" w:eastAsia="zh-CN"/>
              </w:rPr>
              <w:t>根据</w:t>
            </w:r>
            <w:r>
              <w:rPr>
                <w:rFonts w:hint="default"/>
                <w:color w:val="auto"/>
                <w:kern w:val="0"/>
                <w:szCs w:val="21"/>
              </w:rPr>
              <w:t>《锅炉大气污染物排放标准》（GB13271-2014）</w:t>
            </w:r>
            <w:r>
              <w:rPr>
                <w:rFonts w:hint="eastAsia"/>
                <w:color w:val="auto"/>
                <w:kern w:val="0"/>
                <w:szCs w:val="21"/>
                <w:lang w:val="en-US" w:eastAsia="zh-CN"/>
              </w:rPr>
              <w:t>燃油锅炉排气筒高度不低于8m，新建锅炉房的烟囱周围半径 200m 距离内有建筑物时，其烟囱应高出最高建筑物 3m以上，本项目周边最高建筑物为本项目料仓高度10m，因此本项目燃气导热油炉排气筒高度为15m是合理的。根据</w:t>
            </w:r>
            <w:r>
              <w:rPr>
                <w:rFonts w:hint="default"/>
                <w:color w:val="auto"/>
                <w:kern w:val="0"/>
                <w:szCs w:val="21"/>
              </w:rPr>
              <w:t>《大气污染物综合排放标准》（GB16297-1996）</w:t>
            </w:r>
            <w:r>
              <w:rPr>
                <w:rFonts w:hint="eastAsia"/>
                <w:color w:val="auto"/>
                <w:kern w:val="0"/>
                <w:szCs w:val="21"/>
                <w:lang w:val="en-US" w:eastAsia="zh-CN"/>
              </w:rPr>
              <w:t>中</w:t>
            </w:r>
            <w:r>
              <w:rPr>
                <w:rFonts w:hint="default"/>
                <w:color w:val="auto"/>
                <w:kern w:val="0"/>
                <w:szCs w:val="21"/>
              </w:rPr>
              <w:t>新污染源的</w:t>
            </w:r>
            <w:r>
              <w:rPr>
                <w:rFonts w:hint="eastAsia"/>
                <w:color w:val="auto"/>
                <w:kern w:val="0"/>
                <w:szCs w:val="21"/>
                <w:lang w:eastAsia="zh-CN"/>
              </w:rPr>
              <w:t>排气筒</w:t>
            </w:r>
            <w:r>
              <w:rPr>
                <w:rFonts w:hint="default"/>
                <w:color w:val="auto"/>
                <w:kern w:val="0"/>
                <w:szCs w:val="21"/>
              </w:rPr>
              <w:t>一般不应低于15m</w:t>
            </w:r>
            <w:r>
              <w:rPr>
                <w:rFonts w:hint="eastAsia"/>
                <w:color w:val="auto"/>
                <w:kern w:val="0"/>
                <w:szCs w:val="21"/>
                <w:lang w:eastAsia="zh-CN"/>
              </w:rPr>
              <w:t>，</w:t>
            </w:r>
            <w:r>
              <w:rPr>
                <w:rFonts w:hint="default"/>
                <w:color w:val="auto"/>
                <w:kern w:val="0"/>
                <w:szCs w:val="21"/>
              </w:rPr>
              <w:t>还应高出周围200m半径范围的建筑5m以上</w:t>
            </w:r>
            <w:r>
              <w:rPr>
                <w:rFonts w:hint="eastAsia"/>
                <w:color w:val="auto"/>
                <w:kern w:val="0"/>
                <w:szCs w:val="21"/>
                <w:lang w:eastAsia="zh-CN"/>
              </w:rPr>
              <w:t>，不能达到该要求的排气筒，应按其高度对应的表列排放速率标准值严格50%执行。</w:t>
            </w:r>
            <w:r>
              <w:rPr>
                <w:rFonts w:hint="eastAsia"/>
                <w:color w:val="auto"/>
                <w:kern w:val="0"/>
                <w:szCs w:val="21"/>
                <w:lang w:val="en-US" w:eastAsia="zh-CN"/>
              </w:rPr>
              <w:t>本项目周边最高建筑物为本项目料仓高度10m，本项目DA002、DA003、DA004排气筒高度15m，满足</w:t>
            </w:r>
            <w:r>
              <w:rPr>
                <w:rFonts w:hint="default"/>
                <w:color w:val="auto"/>
                <w:kern w:val="0"/>
                <w:szCs w:val="21"/>
              </w:rPr>
              <w:t>《大气污染物综合排放标准》（GB16297-1996）</w:t>
            </w:r>
            <w:r>
              <w:rPr>
                <w:rFonts w:hint="eastAsia"/>
                <w:color w:val="auto"/>
                <w:kern w:val="0"/>
                <w:szCs w:val="21"/>
                <w:lang w:val="en-US" w:eastAsia="zh-CN"/>
              </w:rPr>
              <w:t>要求。因此本项目排气筒高度合理。</w:t>
            </w:r>
          </w:p>
          <w:p>
            <w:pPr>
              <w:pStyle w:val="37"/>
              <w:spacing w:line="360" w:lineRule="auto"/>
              <w:ind w:firstLine="480"/>
              <w:rPr>
                <w:color w:val="auto"/>
                <w:szCs w:val="24"/>
              </w:rPr>
            </w:pPr>
            <w:r>
              <w:rPr>
                <w:rFonts w:hint="eastAsia"/>
                <w:color w:val="auto"/>
                <w:szCs w:val="24"/>
              </w:rPr>
              <w:t>根据上表分析可知，本项目采取的废气污染防治措施均属于《排污许可证申请与核发技术规范 石墨及其他非金属矿物制品制造》HJ1119—2020）中的可行技术，故本项目废气污染防治措施是可行的。</w:t>
            </w:r>
          </w:p>
          <w:p>
            <w:pPr>
              <w:adjustRightInd w:val="0"/>
              <w:snapToGrid w:val="0"/>
              <w:spacing w:line="360" w:lineRule="auto"/>
              <w:ind w:firstLine="480" w:firstLineChars="200"/>
              <w:rPr>
                <w:color w:val="auto"/>
              </w:rPr>
            </w:pPr>
            <w:r>
              <w:rPr>
                <w:rFonts w:hint="eastAsia"/>
                <w:color w:val="auto"/>
              </w:rPr>
              <w:t>（3）环境影响分析</w:t>
            </w:r>
          </w:p>
          <w:p>
            <w:pPr>
              <w:pStyle w:val="8"/>
              <w:keepNext w:val="0"/>
              <w:keepLines w:val="0"/>
              <w:suppressLineNumbers w:val="0"/>
              <w:spacing w:before="0" w:beforeAutospacing="0" w:after="0" w:afterAutospacing="0" w:line="360" w:lineRule="auto"/>
              <w:ind w:left="0" w:right="0"/>
              <w:rPr>
                <w:rFonts w:hint="default"/>
                <w:color w:val="auto"/>
                <w:kern w:val="0"/>
                <w:szCs w:val="21"/>
              </w:rPr>
            </w:pPr>
            <w:r>
              <w:rPr>
                <w:rFonts w:hint="default"/>
                <w:color w:val="auto"/>
                <w:kern w:val="0"/>
                <w:szCs w:val="21"/>
              </w:rPr>
              <w:t>本项目矿粉卸料产生的颗粒物废气满足《大气污染物综合排放标准》（GB16297-1996）中表2标准；烘干滚筒产生的颗粒物与生物质燃料燃烧产生的颗粒物、二氧化硫、</w:t>
            </w:r>
            <w:r>
              <w:rPr>
                <w:rFonts w:hint="eastAsia"/>
                <w:color w:val="auto"/>
                <w:kern w:val="0"/>
                <w:szCs w:val="21"/>
                <w:lang w:val="en-US" w:eastAsia="zh-CN"/>
              </w:rPr>
              <w:t>氮氧化物</w:t>
            </w:r>
            <w:r>
              <w:rPr>
                <w:rFonts w:hint="default"/>
                <w:color w:val="auto"/>
                <w:kern w:val="0"/>
                <w:szCs w:val="21"/>
              </w:rPr>
              <w:t>满足《大气污染物综合排放标准》</w:t>
            </w:r>
            <w:r>
              <w:rPr>
                <w:rFonts w:hint="eastAsia"/>
                <w:color w:val="auto"/>
                <w:kern w:val="0"/>
                <w:szCs w:val="21"/>
                <w:lang w:eastAsia="zh-CN"/>
              </w:rPr>
              <w:t>（</w:t>
            </w:r>
            <w:r>
              <w:rPr>
                <w:rFonts w:hint="default"/>
                <w:color w:val="auto"/>
                <w:kern w:val="0"/>
                <w:szCs w:val="21"/>
              </w:rPr>
              <w:t>GB16297-1996</w:t>
            </w:r>
            <w:r>
              <w:rPr>
                <w:rFonts w:hint="eastAsia"/>
                <w:color w:val="auto"/>
                <w:kern w:val="0"/>
                <w:szCs w:val="21"/>
                <w:lang w:eastAsia="zh-CN"/>
              </w:rPr>
              <w:t>）</w:t>
            </w:r>
            <w:r>
              <w:rPr>
                <w:rFonts w:hint="default"/>
                <w:color w:val="auto"/>
                <w:kern w:val="0"/>
                <w:szCs w:val="21"/>
              </w:rPr>
              <w:t>标准、导热油炉产生的颗粒物、二氧化硫、氮氧化物满足《锅炉大气污染物排放标准》（GB13271-2014）中表2燃煤锅炉大气污染物排放浓度限值；沥青搅拌卸料产生的苯并[a]芘、沥青烟、非甲烷总烃废气满足《大气污染物综合排放标准》（GB16297-1996）中表2标准。通过</w:t>
            </w:r>
            <w:r>
              <w:rPr>
                <w:rFonts w:hint="eastAsia"/>
                <w:color w:val="auto"/>
                <w:kern w:val="0"/>
                <w:szCs w:val="21"/>
                <w:lang w:val="en-US" w:eastAsia="zh-CN"/>
              </w:rPr>
              <w:t>厂房</w:t>
            </w:r>
            <w:r>
              <w:rPr>
                <w:rFonts w:hint="default"/>
                <w:color w:val="auto"/>
                <w:kern w:val="0"/>
                <w:szCs w:val="21"/>
              </w:rPr>
              <w:t>密闭，厂界无组织颗粒物满足《大气污染物综合排放标准》（GB16297-1996）中表2标准，厂界苯并[a]芘、沥青烟、非甲烷总烃满足《大气污染物综合排放标准》（GB16297-1996）中表2标准，厂房外非甲烷总烃满足</w:t>
            </w:r>
            <w:r>
              <w:rPr>
                <w:rFonts w:hint="default"/>
                <w:color w:val="auto"/>
                <w:kern w:val="0"/>
                <w:szCs w:val="21"/>
                <w:lang w:val="zh-CN"/>
              </w:rPr>
              <w:t>《</w:t>
            </w:r>
            <w:r>
              <w:rPr>
                <w:rFonts w:hint="default"/>
                <w:color w:val="auto"/>
                <w:kern w:val="0"/>
                <w:szCs w:val="21"/>
              </w:rPr>
              <w:t>挥发性有机物无组织排放控制标准</w:t>
            </w:r>
            <w:r>
              <w:rPr>
                <w:rFonts w:hint="default"/>
                <w:color w:val="auto"/>
                <w:kern w:val="0"/>
                <w:szCs w:val="21"/>
                <w:lang w:val="zh-CN"/>
              </w:rPr>
              <w:t>》（</w:t>
            </w:r>
            <w:r>
              <w:rPr>
                <w:rFonts w:hint="default"/>
                <w:color w:val="auto"/>
                <w:kern w:val="0"/>
                <w:szCs w:val="21"/>
              </w:rPr>
              <w:t>GB37822-2019）。</w:t>
            </w:r>
          </w:p>
          <w:p>
            <w:pPr>
              <w:adjustRightInd w:val="0"/>
              <w:snapToGrid w:val="0"/>
              <w:spacing w:line="360" w:lineRule="auto"/>
              <w:ind w:firstLine="480" w:firstLineChars="200"/>
              <w:rPr>
                <w:color w:val="auto"/>
              </w:rPr>
            </w:pPr>
            <w:r>
              <w:rPr>
                <w:rFonts w:hint="eastAsia"/>
                <w:color w:val="auto"/>
              </w:rPr>
              <w:t>（4）大气监测计划</w:t>
            </w:r>
          </w:p>
          <w:p>
            <w:pPr>
              <w:adjustRightInd w:val="0"/>
              <w:snapToGrid w:val="0"/>
              <w:spacing w:line="360" w:lineRule="auto"/>
              <w:ind w:firstLine="480" w:firstLineChars="200"/>
              <w:rPr>
                <w:color w:val="auto"/>
              </w:rPr>
            </w:pPr>
            <w:r>
              <w:rPr>
                <w:rFonts w:hint="eastAsia"/>
                <w:color w:val="auto"/>
              </w:rPr>
              <w:t>本项目运行期污染源监测计划按照《排污单位自行监测技术指南 总则》（HJ 819-2017）、《排污单位自行监测技术指南火力发电及锅炉》（HJ820-2017）及《排污许可证申请与核发技术规范石墨及其他非金属矿物制品制造》（HJ1119-2020）中的监测要求制定，具体监测计划见下表4-7。若企业不具备监测条件进行上述污染源及环境质量监测，可委托有资质的环境监测单位进行监测。</w:t>
            </w:r>
          </w:p>
          <w:p>
            <w:pPr>
              <w:jc w:val="center"/>
              <w:rPr>
                <w:b/>
                <w:color w:val="auto"/>
              </w:rPr>
            </w:pPr>
            <w:r>
              <w:rPr>
                <w:rFonts w:hint="eastAsia"/>
                <w:b/>
                <w:color w:val="auto"/>
              </w:rPr>
              <w:t>表4-8  环境监测点位、监测项目及监测频率一览表</w:t>
            </w:r>
          </w:p>
          <w:tbl>
            <w:tblPr>
              <w:tblStyle w:val="30"/>
              <w:tblW w:w="8439" w:type="dxa"/>
              <w:jc w:val="center"/>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51"/>
              <w:gridCol w:w="2149"/>
              <w:gridCol w:w="1923"/>
              <w:gridCol w:w="211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2251" w:type="dxa"/>
                  <w:vAlign w:val="center"/>
                </w:tcPr>
                <w:p>
                  <w:pPr>
                    <w:spacing w:line="300" w:lineRule="exact"/>
                    <w:jc w:val="center"/>
                    <w:rPr>
                      <w:bCs/>
                      <w:color w:val="auto"/>
                      <w:sz w:val="21"/>
                      <w:szCs w:val="21"/>
                    </w:rPr>
                  </w:pPr>
                  <w:r>
                    <w:rPr>
                      <w:rFonts w:hint="eastAsia"/>
                      <w:bCs/>
                      <w:color w:val="auto"/>
                      <w:sz w:val="21"/>
                      <w:szCs w:val="21"/>
                    </w:rPr>
                    <w:t>污染源名称</w:t>
                  </w:r>
                </w:p>
              </w:tc>
              <w:tc>
                <w:tcPr>
                  <w:tcW w:w="2149" w:type="dxa"/>
                  <w:vAlign w:val="center"/>
                </w:tcPr>
                <w:p>
                  <w:pPr>
                    <w:spacing w:line="300" w:lineRule="exact"/>
                    <w:jc w:val="center"/>
                    <w:rPr>
                      <w:bCs/>
                      <w:color w:val="auto"/>
                      <w:sz w:val="21"/>
                      <w:szCs w:val="21"/>
                    </w:rPr>
                  </w:pPr>
                  <w:r>
                    <w:rPr>
                      <w:rFonts w:hint="eastAsia"/>
                      <w:bCs/>
                      <w:color w:val="auto"/>
                      <w:sz w:val="21"/>
                      <w:szCs w:val="21"/>
                    </w:rPr>
                    <w:t>监测点位</w:t>
                  </w:r>
                </w:p>
              </w:tc>
              <w:tc>
                <w:tcPr>
                  <w:tcW w:w="1923" w:type="dxa"/>
                  <w:vAlign w:val="center"/>
                </w:tcPr>
                <w:p>
                  <w:pPr>
                    <w:spacing w:line="300" w:lineRule="exact"/>
                    <w:jc w:val="center"/>
                    <w:rPr>
                      <w:bCs/>
                      <w:color w:val="auto"/>
                      <w:sz w:val="21"/>
                      <w:szCs w:val="21"/>
                    </w:rPr>
                  </w:pPr>
                  <w:r>
                    <w:rPr>
                      <w:rFonts w:hint="eastAsia"/>
                      <w:bCs/>
                      <w:color w:val="auto"/>
                      <w:sz w:val="21"/>
                      <w:szCs w:val="21"/>
                    </w:rPr>
                    <w:t>监测因子</w:t>
                  </w:r>
                </w:p>
              </w:tc>
              <w:tc>
                <w:tcPr>
                  <w:tcW w:w="2116" w:type="dxa"/>
                  <w:vAlign w:val="center"/>
                </w:tcPr>
                <w:p>
                  <w:pPr>
                    <w:spacing w:line="300" w:lineRule="exact"/>
                    <w:jc w:val="center"/>
                    <w:rPr>
                      <w:bCs/>
                      <w:color w:val="auto"/>
                      <w:sz w:val="21"/>
                      <w:szCs w:val="21"/>
                    </w:rPr>
                  </w:pPr>
                  <w:r>
                    <w:rPr>
                      <w:rFonts w:hint="eastAsia"/>
                      <w:bCs/>
                      <w:color w:val="auto"/>
                      <w:sz w:val="21"/>
                      <w:szCs w:val="21"/>
                    </w:rPr>
                    <w:t>监测频次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2251" w:type="dxa"/>
                  <w:vMerge w:val="restart"/>
                  <w:vAlign w:val="center"/>
                </w:tcPr>
                <w:p>
                  <w:pPr>
                    <w:adjustRightInd w:val="0"/>
                    <w:snapToGrid w:val="0"/>
                    <w:jc w:val="center"/>
                    <w:rPr>
                      <w:color w:val="auto"/>
                      <w:sz w:val="21"/>
                      <w:szCs w:val="21"/>
                    </w:rPr>
                  </w:pPr>
                  <w:r>
                    <w:rPr>
                      <w:rFonts w:hint="eastAsia"/>
                      <w:color w:val="auto"/>
                      <w:sz w:val="21"/>
                      <w:szCs w:val="21"/>
                    </w:rPr>
                    <w:t>导热油炉（DA001）</w:t>
                  </w:r>
                </w:p>
              </w:tc>
              <w:tc>
                <w:tcPr>
                  <w:tcW w:w="2149" w:type="dxa"/>
                  <w:vMerge w:val="restart"/>
                  <w:vAlign w:val="center"/>
                </w:tcPr>
                <w:p>
                  <w:pPr>
                    <w:adjustRightInd w:val="0"/>
                    <w:snapToGrid w:val="0"/>
                    <w:jc w:val="center"/>
                    <w:rPr>
                      <w:color w:val="auto"/>
                      <w:sz w:val="21"/>
                      <w:szCs w:val="21"/>
                    </w:rPr>
                  </w:pPr>
                  <w:r>
                    <w:rPr>
                      <w:rFonts w:hint="eastAsia"/>
                      <w:color w:val="auto"/>
                      <w:sz w:val="21"/>
                      <w:szCs w:val="21"/>
                    </w:rPr>
                    <w:t>1</w:t>
                  </w:r>
                  <w:r>
                    <w:rPr>
                      <w:rFonts w:hint="eastAsia"/>
                      <w:color w:val="auto"/>
                      <w:sz w:val="21"/>
                      <w:szCs w:val="21"/>
                      <w:lang w:val="en-US" w:eastAsia="zh-CN"/>
                    </w:rPr>
                    <w:t>5</w:t>
                  </w:r>
                  <w:r>
                    <w:rPr>
                      <w:rFonts w:hint="eastAsia"/>
                      <w:color w:val="auto"/>
                      <w:sz w:val="21"/>
                      <w:szCs w:val="21"/>
                    </w:rPr>
                    <w:t>m高排气筒</w:t>
                  </w:r>
                </w:p>
              </w:tc>
              <w:tc>
                <w:tcPr>
                  <w:tcW w:w="1923" w:type="dxa"/>
                  <w:vAlign w:val="center"/>
                </w:tcPr>
                <w:p>
                  <w:pPr>
                    <w:spacing w:line="300" w:lineRule="exact"/>
                    <w:jc w:val="center"/>
                    <w:rPr>
                      <w:bCs/>
                      <w:color w:val="auto"/>
                      <w:sz w:val="21"/>
                      <w:szCs w:val="21"/>
                    </w:rPr>
                  </w:pPr>
                  <w:r>
                    <w:rPr>
                      <w:rFonts w:hint="eastAsia"/>
                      <w:bCs/>
                      <w:color w:val="auto"/>
                      <w:sz w:val="21"/>
                      <w:szCs w:val="21"/>
                    </w:rPr>
                    <w:t>颗粒物、SO</w:t>
                  </w:r>
                  <w:r>
                    <w:rPr>
                      <w:rFonts w:hint="eastAsia"/>
                      <w:bCs/>
                      <w:color w:val="auto"/>
                      <w:sz w:val="21"/>
                      <w:szCs w:val="21"/>
                      <w:vertAlign w:val="subscript"/>
                    </w:rPr>
                    <w:t>2</w:t>
                  </w:r>
                  <w:r>
                    <w:rPr>
                      <w:rFonts w:hint="eastAsia"/>
                      <w:bCs/>
                      <w:color w:val="auto"/>
                      <w:sz w:val="21"/>
                      <w:szCs w:val="21"/>
                    </w:rPr>
                    <w:t>、烟气黑度</w:t>
                  </w:r>
                </w:p>
              </w:tc>
              <w:tc>
                <w:tcPr>
                  <w:tcW w:w="2116" w:type="dxa"/>
                  <w:vAlign w:val="center"/>
                </w:tcPr>
                <w:p>
                  <w:pPr>
                    <w:spacing w:line="300" w:lineRule="exact"/>
                    <w:jc w:val="center"/>
                    <w:rPr>
                      <w:bCs/>
                      <w:color w:val="auto"/>
                      <w:sz w:val="21"/>
                      <w:szCs w:val="21"/>
                    </w:rPr>
                  </w:pPr>
                  <w:r>
                    <w:rPr>
                      <w:rFonts w:hint="eastAsia"/>
                      <w:bCs/>
                      <w:color w:val="auto"/>
                      <w:sz w:val="21"/>
                      <w:szCs w:val="21"/>
                    </w:rPr>
                    <w:t>1次/年</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2251" w:type="dxa"/>
                  <w:vMerge w:val="continue"/>
                  <w:vAlign w:val="center"/>
                </w:tcPr>
                <w:p>
                  <w:pPr>
                    <w:adjustRightInd w:val="0"/>
                    <w:snapToGrid w:val="0"/>
                    <w:jc w:val="center"/>
                    <w:rPr>
                      <w:color w:val="auto"/>
                      <w:sz w:val="21"/>
                      <w:szCs w:val="21"/>
                    </w:rPr>
                  </w:pPr>
                </w:p>
              </w:tc>
              <w:tc>
                <w:tcPr>
                  <w:tcW w:w="2149" w:type="dxa"/>
                  <w:vMerge w:val="continue"/>
                  <w:vAlign w:val="center"/>
                </w:tcPr>
                <w:p>
                  <w:pPr>
                    <w:adjustRightInd w:val="0"/>
                    <w:snapToGrid w:val="0"/>
                    <w:jc w:val="center"/>
                    <w:rPr>
                      <w:color w:val="auto"/>
                      <w:sz w:val="21"/>
                      <w:szCs w:val="21"/>
                    </w:rPr>
                  </w:pPr>
                </w:p>
              </w:tc>
              <w:tc>
                <w:tcPr>
                  <w:tcW w:w="1923" w:type="dxa"/>
                  <w:vAlign w:val="center"/>
                </w:tcPr>
                <w:p>
                  <w:pPr>
                    <w:spacing w:line="300" w:lineRule="exact"/>
                    <w:jc w:val="center"/>
                    <w:rPr>
                      <w:bCs/>
                      <w:color w:val="auto"/>
                      <w:sz w:val="21"/>
                      <w:szCs w:val="21"/>
                    </w:rPr>
                  </w:pPr>
                  <w:r>
                    <w:rPr>
                      <w:rFonts w:hint="eastAsia"/>
                      <w:bCs/>
                      <w:color w:val="auto"/>
                      <w:sz w:val="21"/>
                      <w:szCs w:val="21"/>
                    </w:rPr>
                    <w:t>NO</w:t>
                  </w:r>
                  <w:r>
                    <w:rPr>
                      <w:rFonts w:hint="eastAsia"/>
                      <w:bCs/>
                      <w:color w:val="auto"/>
                      <w:sz w:val="21"/>
                      <w:szCs w:val="21"/>
                      <w:vertAlign w:val="subscript"/>
                    </w:rPr>
                    <w:t>x</w:t>
                  </w:r>
                </w:p>
              </w:tc>
              <w:tc>
                <w:tcPr>
                  <w:tcW w:w="2116" w:type="dxa"/>
                  <w:vAlign w:val="center"/>
                </w:tcPr>
                <w:p>
                  <w:pPr>
                    <w:spacing w:line="300" w:lineRule="exact"/>
                    <w:jc w:val="center"/>
                    <w:rPr>
                      <w:bCs/>
                      <w:color w:val="auto"/>
                      <w:sz w:val="21"/>
                      <w:szCs w:val="21"/>
                    </w:rPr>
                  </w:pPr>
                  <w:r>
                    <w:rPr>
                      <w:rFonts w:hint="eastAsia"/>
                      <w:bCs/>
                      <w:color w:val="auto"/>
                      <w:sz w:val="21"/>
                      <w:szCs w:val="21"/>
                    </w:rPr>
                    <w:t>1次/月</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2251" w:type="dxa"/>
                  <w:vAlign w:val="center"/>
                </w:tcPr>
                <w:p>
                  <w:pPr>
                    <w:adjustRightInd w:val="0"/>
                    <w:snapToGrid w:val="0"/>
                    <w:jc w:val="center"/>
                    <w:rPr>
                      <w:color w:val="auto"/>
                      <w:sz w:val="21"/>
                      <w:szCs w:val="21"/>
                    </w:rPr>
                  </w:pPr>
                  <w:r>
                    <w:rPr>
                      <w:rFonts w:hint="eastAsia"/>
                      <w:color w:val="auto"/>
                      <w:sz w:val="21"/>
                      <w:szCs w:val="21"/>
                    </w:rPr>
                    <w:t>烘干滚筒、燃烧器（DA002）</w:t>
                  </w:r>
                </w:p>
              </w:tc>
              <w:tc>
                <w:tcPr>
                  <w:tcW w:w="2149" w:type="dxa"/>
                  <w:vAlign w:val="center"/>
                </w:tcPr>
                <w:p>
                  <w:pPr>
                    <w:adjustRightInd w:val="0"/>
                    <w:snapToGrid w:val="0"/>
                    <w:jc w:val="center"/>
                    <w:rPr>
                      <w:color w:val="auto"/>
                      <w:sz w:val="21"/>
                      <w:szCs w:val="21"/>
                    </w:rPr>
                  </w:pPr>
                  <w:r>
                    <w:rPr>
                      <w:rFonts w:hint="eastAsia"/>
                      <w:color w:val="auto"/>
                      <w:sz w:val="21"/>
                      <w:szCs w:val="21"/>
                      <w:lang w:val="en-US" w:eastAsia="zh-CN"/>
                    </w:rPr>
                    <w:t>15</w:t>
                  </w:r>
                  <w:r>
                    <w:rPr>
                      <w:rFonts w:hint="eastAsia"/>
                      <w:color w:val="auto"/>
                      <w:sz w:val="21"/>
                      <w:szCs w:val="21"/>
                    </w:rPr>
                    <w:t>m高排气筒</w:t>
                  </w:r>
                </w:p>
              </w:tc>
              <w:tc>
                <w:tcPr>
                  <w:tcW w:w="1923" w:type="dxa"/>
                  <w:vAlign w:val="center"/>
                </w:tcPr>
                <w:p>
                  <w:pPr>
                    <w:spacing w:line="300" w:lineRule="exact"/>
                    <w:jc w:val="center"/>
                    <w:rPr>
                      <w:bCs/>
                      <w:color w:val="auto"/>
                      <w:sz w:val="21"/>
                      <w:szCs w:val="21"/>
                    </w:rPr>
                  </w:pPr>
                  <w:r>
                    <w:rPr>
                      <w:rFonts w:hint="eastAsia"/>
                      <w:bCs/>
                      <w:color w:val="auto"/>
                      <w:sz w:val="21"/>
                      <w:szCs w:val="21"/>
                    </w:rPr>
                    <w:t>颗粒物、SO</w:t>
                  </w:r>
                  <w:r>
                    <w:rPr>
                      <w:rFonts w:hint="eastAsia"/>
                      <w:bCs/>
                      <w:color w:val="auto"/>
                      <w:sz w:val="21"/>
                      <w:szCs w:val="21"/>
                      <w:vertAlign w:val="subscript"/>
                    </w:rPr>
                    <w:t>2</w:t>
                  </w:r>
                  <w:r>
                    <w:rPr>
                      <w:rFonts w:hint="eastAsia"/>
                      <w:bCs/>
                      <w:color w:val="auto"/>
                      <w:sz w:val="21"/>
                      <w:szCs w:val="21"/>
                    </w:rPr>
                    <w:t>、NO</w:t>
                  </w:r>
                  <w:r>
                    <w:rPr>
                      <w:rFonts w:hint="eastAsia"/>
                      <w:bCs/>
                      <w:color w:val="auto"/>
                      <w:sz w:val="21"/>
                      <w:szCs w:val="21"/>
                      <w:vertAlign w:val="subscript"/>
                    </w:rPr>
                    <w:t>x</w:t>
                  </w:r>
                </w:p>
              </w:tc>
              <w:tc>
                <w:tcPr>
                  <w:tcW w:w="2116" w:type="dxa"/>
                  <w:vAlign w:val="center"/>
                </w:tcPr>
                <w:p>
                  <w:pPr>
                    <w:spacing w:line="300" w:lineRule="exact"/>
                    <w:jc w:val="center"/>
                    <w:rPr>
                      <w:bCs/>
                      <w:color w:val="auto"/>
                      <w:sz w:val="21"/>
                      <w:szCs w:val="21"/>
                    </w:rPr>
                  </w:pPr>
                  <w:r>
                    <w:rPr>
                      <w:rFonts w:hint="eastAsia"/>
                      <w:bCs/>
                      <w:color w:val="auto"/>
                      <w:sz w:val="21"/>
                      <w:szCs w:val="21"/>
                    </w:rPr>
                    <w:t>1次/半年</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2251" w:type="dxa"/>
                  <w:vAlign w:val="center"/>
                </w:tcPr>
                <w:p>
                  <w:pPr>
                    <w:adjustRightInd w:val="0"/>
                    <w:snapToGrid w:val="0"/>
                    <w:jc w:val="center"/>
                    <w:rPr>
                      <w:color w:val="auto"/>
                      <w:sz w:val="21"/>
                      <w:szCs w:val="21"/>
                    </w:rPr>
                  </w:pPr>
                  <w:r>
                    <w:rPr>
                      <w:rFonts w:hint="eastAsia"/>
                      <w:bCs/>
                      <w:color w:val="auto"/>
                      <w:sz w:val="21"/>
                      <w:szCs w:val="21"/>
                    </w:rPr>
                    <w:t>沥青搅拌站（DA003）</w:t>
                  </w:r>
                </w:p>
              </w:tc>
              <w:tc>
                <w:tcPr>
                  <w:tcW w:w="2149" w:type="dxa"/>
                  <w:vAlign w:val="center"/>
                </w:tcPr>
                <w:p>
                  <w:pPr>
                    <w:adjustRightInd w:val="0"/>
                    <w:snapToGrid w:val="0"/>
                    <w:jc w:val="center"/>
                    <w:rPr>
                      <w:color w:val="auto"/>
                      <w:sz w:val="21"/>
                      <w:szCs w:val="21"/>
                    </w:rPr>
                  </w:pPr>
                  <w:r>
                    <w:rPr>
                      <w:rFonts w:hint="eastAsia"/>
                      <w:color w:val="auto"/>
                      <w:sz w:val="21"/>
                      <w:szCs w:val="21"/>
                      <w:lang w:val="en-US" w:eastAsia="zh-CN"/>
                    </w:rPr>
                    <w:t>15</w:t>
                  </w:r>
                  <w:r>
                    <w:rPr>
                      <w:rFonts w:hint="eastAsia"/>
                      <w:color w:val="auto"/>
                      <w:sz w:val="21"/>
                      <w:szCs w:val="21"/>
                    </w:rPr>
                    <w:t>m高排气筒</w:t>
                  </w:r>
                </w:p>
              </w:tc>
              <w:tc>
                <w:tcPr>
                  <w:tcW w:w="1923" w:type="dxa"/>
                  <w:vAlign w:val="center"/>
                </w:tcPr>
                <w:p>
                  <w:pPr>
                    <w:spacing w:line="300" w:lineRule="exact"/>
                    <w:jc w:val="center"/>
                    <w:rPr>
                      <w:bCs/>
                      <w:color w:val="auto"/>
                      <w:sz w:val="21"/>
                      <w:szCs w:val="21"/>
                    </w:rPr>
                  </w:pPr>
                  <w:r>
                    <w:rPr>
                      <w:rFonts w:hint="eastAsia"/>
                      <w:bCs/>
                      <w:color w:val="auto"/>
                      <w:sz w:val="21"/>
                      <w:szCs w:val="21"/>
                    </w:rPr>
                    <w:t>沥青烟、苯并[a]芘</w:t>
                  </w:r>
                </w:p>
              </w:tc>
              <w:tc>
                <w:tcPr>
                  <w:tcW w:w="2116" w:type="dxa"/>
                  <w:vAlign w:val="center"/>
                </w:tcPr>
                <w:p>
                  <w:pPr>
                    <w:spacing w:line="300" w:lineRule="exact"/>
                    <w:jc w:val="center"/>
                    <w:rPr>
                      <w:rFonts w:hint="eastAsia" w:eastAsia="宋体"/>
                      <w:bCs/>
                      <w:color w:val="auto"/>
                      <w:sz w:val="21"/>
                      <w:szCs w:val="21"/>
                      <w:lang w:eastAsia="zh-CN"/>
                    </w:rPr>
                  </w:pPr>
                  <w:r>
                    <w:rPr>
                      <w:rFonts w:hint="eastAsia"/>
                      <w:bCs/>
                      <w:color w:val="auto"/>
                      <w:sz w:val="21"/>
                      <w:szCs w:val="21"/>
                    </w:rPr>
                    <w:t>1次/</w:t>
                  </w:r>
                  <w:r>
                    <w:rPr>
                      <w:rFonts w:hint="eastAsia"/>
                      <w:bCs/>
                      <w:color w:val="auto"/>
                      <w:sz w:val="21"/>
                      <w:szCs w:val="21"/>
                      <w:lang w:val="en-US" w:eastAsia="zh-CN"/>
                    </w:rPr>
                    <w:t>年</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2251" w:type="dxa"/>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筒仓（DA004）</w:t>
                  </w:r>
                </w:p>
              </w:tc>
              <w:tc>
                <w:tcPr>
                  <w:tcW w:w="2149"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r>
                    <w:rPr>
                      <w:rFonts w:hint="eastAsia"/>
                      <w:color w:val="auto"/>
                      <w:sz w:val="21"/>
                      <w:szCs w:val="21"/>
                    </w:rPr>
                    <w:t>m高排气筒</w:t>
                  </w:r>
                </w:p>
              </w:tc>
              <w:tc>
                <w:tcPr>
                  <w:tcW w:w="1923" w:type="dxa"/>
                  <w:vAlign w:val="center"/>
                </w:tcPr>
                <w:p>
                  <w:pPr>
                    <w:spacing w:line="300" w:lineRule="exact"/>
                    <w:jc w:val="center"/>
                    <w:rPr>
                      <w:rFonts w:hint="eastAsia"/>
                      <w:bCs/>
                      <w:color w:val="auto"/>
                      <w:sz w:val="21"/>
                      <w:szCs w:val="21"/>
                    </w:rPr>
                  </w:pPr>
                  <w:r>
                    <w:rPr>
                      <w:rFonts w:hint="eastAsia"/>
                      <w:bCs/>
                      <w:color w:val="auto"/>
                      <w:sz w:val="21"/>
                      <w:szCs w:val="21"/>
                    </w:rPr>
                    <w:t>颗粒物</w:t>
                  </w:r>
                </w:p>
              </w:tc>
              <w:tc>
                <w:tcPr>
                  <w:tcW w:w="2116" w:type="dxa"/>
                  <w:vAlign w:val="center"/>
                </w:tcPr>
                <w:p>
                  <w:pPr>
                    <w:spacing w:line="300" w:lineRule="exact"/>
                    <w:jc w:val="center"/>
                    <w:rPr>
                      <w:rFonts w:hint="eastAsia"/>
                      <w:bCs/>
                      <w:color w:val="auto"/>
                      <w:sz w:val="21"/>
                      <w:szCs w:val="21"/>
                    </w:rPr>
                  </w:pPr>
                  <w:r>
                    <w:rPr>
                      <w:rFonts w:hint="eastAsia"/>
                      <w:bCs/>
                      <w:color w:val="auto"/>
                      <w:sz w:val="21"/>
                      <w:szCs w:val="21"/>
                    </w:rPr>
                    <w:t>1次/年</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2251" w:type="dxa"/>
                  <w:vAlign w:val="center"/>
                </w:tcPr>
                <w:p>
                  <w:pPr>
                    <w:adjustRightInd w:val="0"/>
                    <w:snapToGrid w:val="0"/>
                    <w:jc w:val="center"/>
                    <w:rPr>
                      <w:color w:val="auto"/>
                      <w:sz w:val="21"/>
                      <w:szCs w:val="21"/>
                    </w:rPr>
                  </w:pPr>
                  <w:r>
                    <w:rPr>
                      <w:rFonts w:hint="eastAsia"/>
                      <w:color w:val="auto"/>
                      <w:sz w:val="21"/>
                      <w:szCs w:val="21"/>
                    </w:rPr>
                    <w:t>厂界无组织</w:t>
                  </w:r>
                </w:p>
              </w:tc>
              <w:tc>
                <w:tcPr>
                  <w:tcW w:w="2149" w:type="dxa"/>
                  <w:vAlign w:val="center"/>
                </w:tcPr>
                <w:p>
                  <w:pPr>
                    <w:adjustRightInd w:val="0"/>
                    <w:snapToGrid w:val="0"/>
                    <w:jc w:val="center"/>
                    <w:rPr>
                      <w:color w:val="auto"/>
                      <w:sz w:val="21"/>
                      <w:szCs w:val="21"/>
                    </w:rPr>
                  </w:pPr>
                  <w:r>
                    <w:rPr>
                      <w:rFonts w:hint="eastAsia"/>
                      <w:color w:val="auto"/>
                      <w:sz w:val="21"/>
                      <w:szCs w:val="21"/>
                    </w:rPr>
                    <w:t>厂界（共4个监测点）</w:t>
                  </w:r>
                </w:p>
              </w:tc>
              <w:tc>
                <w:tcPr>
                  <w:tcW w:w="1923" w:type="dxa"/>
                  <w:vAlign w:val="center"/>
                </w:tcPr>
                <w:p>
                  <w:pPr>
                    <w:spacing w:line="300" w:lineRule="exact"/>
                    <w:jc w:val="center"/>
                    <w:rPr>
                      <w:bCs/>
                      <w:color w:val="auto"/>
                      <w:sz w:val="21"/>
                      <w:szCs w:val="21"/>
                    </w:rPr>
                  </w:pPr>
                  <w:r>
                    <w:rPr>
                      <w:rFonts w:hint="eastAsia"/>
                      <w:bCs/>
                      <w:color w:val="auto"/>
                      <w:sz w:val="21"/>
                      <w:szCs w:val="21"/>
                    </w:rPr>
                    <w:t>苯并[a]芘、沥青烟、颗粒物</w:t>
                  </w:r>
                </w:p>
              </w:tc>
              <w:tc>
                <w:tcPr>
                  <w:tcW w:w="2116" w:type="dxa"/>
                  <w:vAlign w:val="center"/>
                </w:tcPr>
                <w:p>
                  <w:pPr>
                    <w:spacing w:line="300" w:lineRule="exact"/>
                    <w:jc w:val="center"/>
                    <w:rPr>
                      <w:rFonts w:hint="eastAsia" w:eastAsia="宋体"/>
                      <w:bCs/>
                      <w:color w:val="auto"/>
                      <w:sz w:val="21"/>
                      <w:szCs w:val="21"/>
                      <w:lang w:eastAsia="zh-CN"/>
                    </w:rPr>
                  </w:pPr>
                  <w:r>
                    <w:rPr>
                      <w:rFonts w:hint="eastAsia"/>
                      <w:bCs/>
                      <w:color w:val="auto"/>
                      <w:sz w:val="21"/>
                      <w:szCs w:val="21"/>
                    </w:rPr>
                    <w:t>1次/</w:t>
                  </w:r>
                  <w:r>
                    <w:rPr>
                      <w:rFonts w:hint="eastAsia"/>
                      <w:bCs/>
                      <w:color w:val="auto"/>
                      <w:sz w:val="21"/>
                      <w:szCs w:val="21"/>
                      <w:lang w:val="en-US" w:eastAsia="zh-CN"/>
                    </w:rPr>
                    <w:t>年</w:t>
                  </w:r>
                </w:p>
              </w:tc>
            </w:tr>
          </w:tbl>
          <w:p>
            <w:pPr>
              <w:pStyle w:val="51"/>
              <w:numPr>
                <w:ilvl w:val="0"/>
                <w:numId w:val="11"/>
              </w:numPr>
              <w:ind w:firstLine="482"/>
              <w:rPr>
                <w:b/>
                <w:bCs/>
                <w:color w:val="auto"/>
              </w:rPr>
            </w:pPr>
            <w:r>
              <w:rPr>
                <w:b/>
                <w:bCs/>
                <w:color w:val="auto"/>
              </w:rPr>
              <w:t>废水</w:t>
            </w:r>
          </w:p>
          <w:p>
            <w:pPr>
              <w:adjustRightInd w:val="0"/>
              <w:snapToGrid w:val="0"/>
              <w:spacing w:line="360" w:lineRule="auto"/>
              <w:ind w:firstLine="480" w:firstLineChars="200"/>
              <w:rPr>
                <w:bCs/>
                <w:color w:val="auto"/>
              </w:rPr>
            </w:pPr>
            <w:r>
              <w:rPr>
                <w:rFonts w:hint="eastAsia" w:hAnsi="宋体" w:cs="宋体"/>
                <w:color w:val="auto"/>
              </w:rPr>
              <w:t>员工生活污水的排水量按产生量的80%计，则生活污水</w:t>
            </w:r>
            <w:r>
              <w:rPr>
                <w:rFonts w:hint="eastAsia" w:hAnsi="宋体" w:cs="宋体"/>
                <w:color w:val="auto"/>
                <w:lang w:val="en-US" w:eastAsia="zh-CN"/>
              </w:rPr>
              <w:t>产生</w:t>
            </w:r>
            <w:r>
              <w:rPr>
                <w:rFonts w:hint="eastAsia" w:hAnsi="宋体" w:cs="宋体"/>
                <w:color w:val="auto"/>
              </w:rPr>
              <w:t>量为</w:t>
            </w:r>
            <w:r>
              <w:rPr>
                <w:rFonts w:hint="eastAsia" w:hAnsi="宋体" w:cs="宋体"/>
                <w:color w:val="auto"/>
                <w:lang w:val="en-US" w:eastAsia="zh-CN"/>
              </w:rPr>
              <w:t>0.384</w:t>
            </w:r>
            <w:r>
              <w:rPr>
                <w:rFonts w:hint="eastAsia" w:hAnsi="宋体" w:cs="宋体"/>
                <w:color w:val="auto"/>
              </w:rPr>
              <w:t>m</w:t>
            </w:r>
            <w:r>
              <w:rPr>
                <w:rFonts w:hint="eastAsia" w:hAnsi="宋体" w:cs="宋体"/>
                <w:color w:val="auto"/>
                <w:vertAlign w:val="superscript"/>
              </w:rPr>
              <w:t>3</w:t>
            </w:r>
            <w:r>
              <w:rPr>
                <w:rFonts w:hint="eastAsia" w:hAnsi="宋体" w:cs="宋体"/>
                <w:color w:val="auto"/>
              </w:rPr>
              <w:t>/d，</w:t>
            </w:r>
            <w:r>
              <w:rPr>
                <w:rFonts w:hint="eastAsia" w:hAnsi="宋体" w:cs="宋体"/>
                <w:color w:val="auto"/>
                <w:lang w:val="en-US" w:eastAsia="zh-CN"/>
              </w:rPr>
              <w:t>34.56</w:t>
            </w:r>
            <w:r>
              <w:rPr>
                <w:rFonts w:hint="eastAsia" w:hAnsi="宋体" w:cs="宋体"/>
                <w:color w:val="auto"/>
              </w:rPr>
              <w:t>m</w:t>
            </w:r>
            <w:r>
              <w:rPr>
                <w:rFonts w:hint="eastAsia" w:hAnsi="宋体" w:cs="宋体"/>
                <w:color w:val="auto"/>
                <w:vertAlign w:val="superscript"/>
              </w:rPr>
              <w:t>3</w:t>
            </w:r>
            <w:r>
              <w:rPr>
                <w:rFonts w:hint="eastAsia" w:hAnsi="宋体" w:cs="宋体"/>
                <w:color w:val="auto"/>
              </w:rPr>
              <w:t>/a</w:t>
            </w:r>
            <w:r>
              <w:rPr>
                <w:rFonts w:hint="eastAsia"/>
                <w:color w:val="auto"/>
              </w:rPr>
              <w:t>本项目污水水质情况类比城市污水平均值，COD浓度为300mg/L、BOD</w:t>
            </w:r>
            <w:r>
              <w:rPr>
                <w:rFonts w:hint="eastAsia"/>
                <w:color w:val="auto"/>
                <w:vertAlign w:val="subscript"/>
              </w:rPr>
              <w:t>5</w:t>
            </w:r>
            <w:r>
              <w:rPr>
                <w:rFonts w:hint="eastAsia"/>
                <w:color w:val="auto"/>
              </w:rPr>
              <w:t>浓度为200mg/L、氨氮浓度为30mg/L、SS浓度为200mg/L。</w:t>
            </w:r>
            <w:r>
              <w:rPr>
                <w:rFonts w:hint="eastAsia"/>
                <w:bCs/>
                <w:color w:val="auto"/>
              </w:rPr>
              <w:t>生活污水采用防渗旱厕收集，定期清掏堆肥利用不外排。防渗旱厕须采取防渗措施，防渗层厚度须满足等效黏土防渗层Mb≥1.5m，K≤1×10</w:t>
            </w:r>
            <w:r>
              <w:rPr>
                <w:rFonts w:hint="eastAsia"/>
                <w:bCs/>
                <w:color w:val="auto"/>
                <w:vertAlign w:val="superscript"/>
              </w:rPr>
              <w:t>-7</w:t>
            </w:r>
            <w:r>
              <w:rPr>
                <w:rFonts w:hint="eastAsia"/>
                <w:bCs/>
                <w:color w:val="auto"/>
              </w:rPr>
              <w:t>cm/s的要求</w:t>
            </w:r>
            <w:r>
              <w:rPr>
                <w:rFonts w:hint="eastAsia"/>
                <w:bCs/>
                <w:color w:val="auto"/>
                <w:lang w:eastAsia="zh-CN"/>
              </w:rPr>
              <w:t>。</w:t>
            </w:r>
          </w:p>
          <w:p>
            <w:pPr>
              <w:pStyle w:val="51"/>
              <w:numPr>
                <w:ilvl w:val="0"/>
                <w:numId w:val="11"/>
              </w:numPr>
              <w:ind w:firstLine="482"/>
              <w:rPr>
                <w:b/>
                <w:bCs/>
                <w:color w:val="auto"/>
              </w:rPr>
            </w:pPr>
            <w:r>
              <w:rPr>
                <w:b/>
                <w:bCs/>
                <w:color w:val="auto"/>
              </w:rPr>
              <w:t>噪声</w:t>
            </w:r>
          </w:p>
          <w:p>
            <w:pPr>
              <w:pStyle w:val="51"/>
              <w:numPr>
                <w:ilvl w:val="0"/>
                <w:numId w:val="13"/>
              </w:numPr>
              <w:ind w:firstLine="480"/>
              <w:rPr>
                <w:color w:val="auto"/>
              </w:rPr>
            </w:pPr>
            <w:r>
              <w:rPr>
                <w:color w:val="auto"/>
              </w:rPr>
              <w:t>噪声源强分析</w:t>
            </w:r>
          </w:p>
          <w:p>
            <w:pPr>
              <w:pStyle w:val="39"/>
              <w:spacing w:line="360" w:lineRule="auto"/>
              <w:ind w:left="0" w:leftChars="0" w:firstLine="480" w:firstLineChars="200"/>
              <w:jc w:val="left"/>
              <w:rPr>
                <w:color w:val="auto"/>
              </w:rPr>
            </w:pPr>
            <w:r>
              <w:rPr>
                <w:color w:val="auto"/>
              </w:rPr>
              <w:t>运营期</w:t>
            </w:r>
            <w:r>
              <w:rPr>
                <w:rFonts w:hint="eastAsia"/>
                <w:color w:val="auto"/>
              </w:rPr>
              <w:t>正常运行的噪声源主要来自沥青混凝土搅拌站、风机、烘干滚筒等设备，噪声源强在80</w:t>
            </w:r>
            <w:r>
              <w:rPr>
                <w:color w:val="auto"/>
              </w:rPr>
              <w:t>～</w:t>
            </w:r>
            <w:r>
              <w:rPr>
                <w:rFonts w:hint="eastAsia"/>
                <w:color w:val="auto"/>
              </w:rPr>
              <w:t>90</w:t>
            </w:r>
            <w:r>
              <w:rPr>
                <w:color w:val="auto"/>
              </w:rPr>
              <w:t>dB（A）之间。根据工程分析，拟建项目主要声源设备通过采用基础减振、安装隔声罩、厂房隔声等措施，噪声源强见下表。本项目噪声源强统计表见表4-</w:t>
            </w:r>
            <w:r>
              <w:rPr>
                <w:rFonts w:hint="eastAsia"/>
                <w:color w:val="auto"/>
                <w:lang w:val="en-US" w:eastAsia="zh-CN"/>
              </w:rPr>
              <w:t>9</w:t>
            </w:r>
            <w:r>
              <w:rPr>
                <w:color w:val="auto"/>
              </w:rPr>
              <w:t>。</w:t>
            </w:r>
          </w:p>
          <w:p>
            <w:pPr>
              <w:jc w:val="center"/>
              <w:rPr>
                <w:b/>
                <w:color w:val="auto"/>
              </w:rPr>
            </w:pPr>
            <w:r>
              <w:rPr>
                <w:rFonts w:hint="eastAsia"/>
                <w:b/>
                <w:color w:val="auto"/>
              </w:rPr>
              <w:t>表4-</w:t>
            </w:r>
            <w:r>
              <w:rPr>
                <w:rFonts w:hint="eastAsia"/>
                <w:b/>
                <w:color w:val="auto"/>
                <w:lang w:val="en-US" w:eastAsia="zh-CN"/>
              </w:rPr>
              <w:t>9</w:t>
            </w:r>
            <w:r>
              <w:rPr>
                <w:rFonts w:hint="eastAsia"/>
                <w:b/>
                <w:color w:val="auto"/>
              </w:rPr>
              <w:t xml:space="preserve">  工业企业噪声源强调查清单（室外声源）</w:t>
            </w:r>
          </w:p>
          <w:tbl>
            <w:tblPr>
              <w:tblStyle w:val="30"/>
              <w:tblW w:w="84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86"/>
              <w:gridCol w:w="605"/>
              <w:gridCol w:w="629"/>
              <w:gridCol w:w="636"/>
              <w:gridCol w:w="582"/>
              <w:gridCol w:w="627"/>
              <w:gridCol w:w="852"/>
              <w:gridCol w:w="1356"/>
              <w:gridCol w:w="685"/>
              <w:gridCol w:w="776"/>
              <w:gridCol w:w="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Merge w:val="restart"/>
                  <w:vAlign w:val="center"/>
                </w:tcPr>
                <w:p>
                  <w:pPr>
                    <w:jc w:val="center"/>
                    <w:rPr>
                      <w:color w:val="auto"/>
                      <w:sz w:val="21"/>
                      <w:szCs w:val="21"/>
                    </w:rPr>
                  </w:pPr>
                  <w:r>
                    <w:rPr>
                      <w:color w:val="auto"/>
                      <w:sz w:val="21"/>
                      <w:szCs w:val="21"/>
                    </w:rPr>
                    <w:t>序号</w:t>
                  </w:r>
                </w:p>
              </w:tc>
              <w:tc>
                <w:tcPr>
                  <w:tcW w:w="1234" w:type="dxa"/>
                  <w:gridSpan w:val="2"/>
                  <w:vMerge w:val="restart"/>
                  <w:vAlign w:val="center"/>
                </w:tcPr>
                <w:p>
                  <w:pPr>
                    <w:jc w:val="center"/>
                    <w:rPr>
                      <w:color w:val="auto"/>
                      <w:sz w:val="21"/>
                      <w:szCs w:val="21"/>
                    </w:rPr>
                  </w:pPr>
                  <w:r>
                    <w:rPr>
                      <w:color w:val="auto"/>
                      <w:sz w:val="21"/>
                      <w:szCs w:val="21"/>
                    </w:rPr>
                    <w:t>声源名称</w:t>
                  </w:r>
                </w:p>
              </w:tc>
              <w:tc>
                <w:tcPr>
                  <w:tcW w:w="1845" w:type="dxa"/>
                  <w:gridSpan w:val="3"/>
                  <w:vAlign w:val="center"/>
                </w:tcPr>
                <w:p>
                  <w:pPr>
                    <w:jc w:val="center"/>
                    <w:rPr>
                      <w:color w:val="auto"/>
                      <w:sz w:val="21"/>
                      <w:szCs w:val="21"/>
                    </w:rPr>
                  </w:pPr>
                  <w:r>
                    <w:rPr>
                      <w:color w:val="auto"/>
                      <w:sz w:val="21"/>
                      <w:szCs w:val="21"/>
                    </w:rPr>
                    <w:t>空间相对位置/m</w:t>
                  </w:r>
                </w:p>
              </w:tc>
              <w:tc>
                <w:tcPr>
                  <w:tcW w:w="852" w:type="dxa"/>
                  <w:vMerge w:val="restart"/>
                  <w:vAlign w:val="center"/>
                </w:tcPr>
                <w:p>
                  <w:pPr>
                    <w:jc w:val="center"/>
                    <w:rPr>
                      <w:color w:val="auto"/>
                      <w:sz w:val="21"/>
                      <w:szCs w:val="21"/>
                    </w:rPr>
                  </w:pPr>
                  <w:r>
                    <w:rPr>
                      <w:rFonts w:hint="eastAsia"/>
                      <w:color w:val="auto"/>
                      <w:sz w:val="21"/>
                      <w:szCs w:val="21"/>
                    </w:rPr>
                    <w:t>声功率级/</w:t>
                  </w:r>
                </w:p>
                <w:p>
                  <w:pPr>
                    <w:jc w:val="center"/>
                    <w:rPr>
                      <w:color w:val="auto"/>
                      <w:sz w:val="21"/>
                      <w:szCs w:val="21"/>
                    </w:rPr>
                  </w:pPr>
                  <w:r>
                    <w:rPr>
                      <w:rFonts w:hint="eastAsia"/>
                      <w:color w:val="auto"/>
                      <w:sz w:val="21"/>
                      <w:szCs w:val="21"/>
                    </w:rPr>
                    <w:t>dB(A)</w:t>
                  </w:r>
                </w:p>
              </w:tc>
              <w:tc>
                <w:tcPr>
                  <w:tcW w:w="1356" w:type="dxa"/>
                  <w:vMerge w:val="restart"/>
                  <w:vAlign w:val="center"/>
                </w:tcPr>
                <w:p>
                  <w:pPr>
                    <w:jc w:val="center"/>
                    <w:rPr>
                      <w:color w:val="auto"/>
                      <w:sz w:val="21"/>
                      <w:szCs w:val="21"/>
                    </w:rPr>
                  </w:pPr>
                  <w:r>
                    <w:rPr>
                      <w:rFonts w:hint="eastAsia"/>
                      <w:color w:val="auto"/>
                      <w:sz w:val="21"/>
                      <w:szCs w:val="21"/>
                    </w:rPr>
                    <w:t>声源控制措施</w:t>
                  </w:r>
                </w:p>
              </w:tc>
              <w:tc>
                <w:tcPr>
                  <w:tcW w:w="685" w:type="dxa"/>
                  <w:vMerge w:val="restart"/>
                  <w:vAlign w:val="center"/>
                </w:tcPr>
                <w:p>
                  <w:pPr>
                    <w:jc w:val="center"/>
                    <w:rPr>
                      <w:color w:val="auto"/>
                      <w:sz w:val="21"/>
                      <w:szCs w:val="21"/>
                    </w:rPr>
                  </w:pPr>
                  <w:r>
                    <w:rPr>
                      <w:rFonts w:hint="eastAsia"/>
                      <w:color w:val="auto"/>
                      <w:sz w:val="21"/>
                      <w:szCs w:val="21"/>
                    </w:rPr>
                    <w:t>降噪效果</w:t>
                  </w:r>
                </w:p>
              </w:tc>
              <w:tc>
                <w:tcPr>
                  <w:tcW w:w="776" w:type="dxa"/>
                  <w:vMerge w:val="restart"/>
                  <w:vAlign w:val="center"/>
                </w:tcPr>
                <w:p>
                  <w:pPr>
                    <w:jc w:val="center"/>
                    <w:rPr>
                      <w:color w:val="auto"/>
                      <w:sz w:val="21"/>
                      <w:szCs w:val="21"/>
                    </w:rPr>
                  </w:pPr>
                  <w:r>
                    <w:rPr>
                      <w:rFonts w:hint="eastAsia"/>
                      <w:color w:val="auto"/>
                      <w:sz w:val="21"/>
                      <w:szCs w:val="21"/>
                    </w:rPr>
                    <w:t>噪声值dB（A）</w:t>
                  </w:r>
                </w:p>
              </w:tc>
              <w:tc>
                <w:tcPr>
                  <w:tcW w:w="998" w:type="dxa"/>
                  <w:vMerge w:val="restart"/>
                  <w:vAlign w:val="center"/>
                </w:tcPr>
                <w:p>
                  <w:pPr>
                    <w:jc w:val="center"/>
                    <w:rPr>
                      <w:color w:val="auto"/>
                      <w:sz w:val="21"/>
                      <w:szCs w:val="21"/>
                    </w:rPr>
                  </w:pPr>
                  <w:r>
                    <w:rPr>
                      <w:color w:val="auto"/>
                      <w:sz w:val="21"/>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Merge w:val="continue"/>
                  <w:vAlign w:val="center"/>
                </w:tcPr>
                <w:p>
                  <w:pPr>
                    <w:jc w:val="center"/>
                    <w:rPr>
                      <w:color w:val="auto"/>
                      <w:sz w:val="21"/>
                      <w:szCs w:val="21"/>
                    </w:rPr>
                  </w:pPr>
                </w:p>
              </w:tc>
              <w:tc>
                <w:tcPr>
                  <w:tcW w:w="1234" w:type="dxa"/>
                  <w:gridSpan w:val="2"/>
                  <w:vMerge w:val="continue"/>
                  <w:vAlign w:val="center"/>
                </w:tcPr>
                <w:p>
                  <w:pPr>
                    <w:jc w:val="center"/>
                    <w:rPr>
                      <w:color w:val="auto"/>
                      <w:sz w:val="21"/>
                      <w:szCs w:val="21"/>
                    </w:rPr>
                  </w:pPr>
                </w:p>
              </w:tc>
              <w:tc>
                <w:tcPr>
                  <w:tcW w:w="636" w:type="dxa"/>
                  <w:vAlign w:val="center"/>
                </w:tcPr>
                <w:p>
                  <w:pPr>
                    <w:jc w:val="center"/>
                    <w:rPr>
                      <w:color w:val="auto"/>
                      <w:sz w:val="21"/>
                      <w:szCs w:val="21"/>
                    </w:rPr>
                  </w:pPr>
                  <w:r>
                    <w:rPr>
                      <w:color w:val="auto"/>
                      <w:sz w:val="21"/>
                      <w:szCs w:val="21"/>
                    </w:rPr>
                    <w:t>X</w:t>
                  </w:r>
                </w:p>
              </w:tc>
              <w:tc>
                <w:tcPr>
                  <w:tcW w:w="582" w:type="dxa"/>
                  <w:vAlign w:val="center"/>
                </w:tcPr>
                <w:p>
                  <w:pPr>
                    <w:jc w:val="center"/>
                    <w:rPr>
                      <w:color w:val="auto"/>
                      <w:sz w:val="21"/>
                      <w:szCs w:val="21"/>
                    </w:rPr>
                  </w:pPr>
                  <w:r>
                    <w:rPr>
                      <w:color w:val="auto"/>
                      <w:sz w:val="21"/>
                      <w:szCs w:val="21"/>
                    </w:rPr>
                    <w:t>Y</w:t>
                  </w:r>
                </w:p>
              </w:tc>
              <w:tc>
                <w:tcPr>
                  <w:tcW w:w="627" w:type="dxa"/>
                  <w:vAlign w:val="center"/>
                </w:tcPr>
                <w:p>
                  <w:pPr>
                    <w:jc w:val="center"/>
                    <w:rPr>
                      <w:color w:val="auto"/>
                      <w:sz w:val="21"/>
                      <w:szCs w:val="21"/>
                    </w:rPr>
                  </w:pPr>
                  <w:r>
                    <w:rPr>
                      <w:color w:val="auto"/>
                      <w:sz w:val="21"/>
                      <w:szCs w:val="21"/>
                    </w:rPr>
                    <w:t>Z</w:t>
                  </w:r>
                </w:p>
              </w:tc>
              <w:tc>
                <w:tcPr>
                  <w:tcW w:w="852" w:type="dxa"/>
                  <w:vMerge w:val="continue"/>
                  <w:vAlign w:val="center"/>
                </w:tcPr>
                <w:p>
                  <w:pPr>
                    <w:jc w:val="center"/>
                    <w:rPr>
                      <w:color w:val="auto"/>
                      <w:sz w:val="21"/>
                      <w:szCs w:val="21"/>
                    </w:rPr>
                  </w:pPr>
                </w:p>
              </w:tc>
              <w:tc>
                <w:tcPr>
                  <w:tcW w:w="1356" w:type="dxa"/>
                  <w:vMerge w:val="continue"/>
                  <w:vAlign w:val="center"/>
                </w:tcPr>
                <w:p>
                  <w:pPr>
                    <w:jc w:val="center"/>
                    <w:rPr>
                      <w:color w:val="auto"/>
                      <w:sz w:val="21"/>
                      <w:szCs w:val="21"/>
                    </w:rPr>
                  </w:pPr>
                </w:p>
              </w:tc>
              <w:tc>
                <w:tcPr>
                  <w:tcW w:w="685" w:type="dxa"/>
                  <w:vMerge w:val="continue"/>
                  <w:vAlign w:val="center"/>
                </w:tcPr>
                <w:p>
                  <w:pPr>
                    <w:jc w:val="center"/>
                    <w:rPr>
                      <w:color w:val="auto"/>
                      <w:sz w:val="21"/>
                      <w:szCs w:val="21"/>
                    </w:rPr>
                  </w:pPr>
                </w:p>
              </w:tc>
              <w:tc>
                <w:tcPr>
                  <w:tcW w:w="776" w:type="dxa"/>
                  <w:vMerge w:val="continue"/>
                  <w:vAlign w:val="center"/>
                </w:tcPr>
                <w:p>
                  <w:pPr>
                    <w:jc w:val="center"/>
                    <w:rPr>
                      <w:color w:val="auto"/>
                      <w:sz w:val="21"/>
                      <w:szCs w:val="21"/>
                    </w:rPr>
                  </w:pPr>
                </w:p>
              </w:tc>
              <w:tc>
                <w:tcPr>
                  <w:tcW w:w="998" w:type="dxa"/>
                  <w:vMerge w:val="continue"/>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Align w:val="center"/>
                </w:tcPr>
                <w:p>
                  <w:pPr>
                    <w:jc w:val="center"/>
                    <w:rPr>
                      <w:color w:val="auto"/>
                      <w:sz w:val="21"/>
                      <w:szCs w:val="21"/>
                    </w:rPr>
                  </w:pPr>
                  <w:r>
                    <w:rPr>
                      <w:rFonts w:hint="eastAsia"/>
                      <w:color w:val="auto"/>
                      <w:sz w:val="21"/>
                      <w:szCs w:val="21"/>
                    </w:rPr>
                    <w:t>1</w:t>
                  </w:r>
                </w:p>
              </w:tc>
              <w:tc>
                <w:tcPr>
                  <w:tcW w:w="1234" w:type="dxa"/>
                  <w:gridSpan w:val="2"/>
                </w:tcPr>
                <w:p>
                  <w:pPr>
                    <w:jc w:val="center"/>
                    <w:rPr>
                      <w:color w:val="auto"/>
                      <w:sz w:val="21"/>
                      <w:szCs w:val="21"/>
                    </w:rPr>
                  </w:pPr>
                  <w:r>
                    <w:rPr>
                      <w:rFonts w:hint="eastAsia"/>
                      <w:color w:val="auto"/>
                      <w:sz w:val="21"/>
                      <w:szCs w:val="21"/>
                    </w:rPr>
                    <w:t>干燥滚筒</w:t>
                  </w:r>
                </w:p>
              </w:tc>
              <w:tc>
                <w:tcPr>
                  <w:tcW w:w="636"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582" w:type="dxa"/>
                  <w:vAlign w:val="center"/>
                </w:tcPr>
                <w:p>
                  <w:pPr>
                    <w:jc w:val="center"/>
                    <w:rPr>
                      <w:color w:val="auto"/>
                      <w:sz w:val="21"/>
                      <w:szCs w:val="21"/>
                    </w:rPr>
                  </w:pPr>
                  <w:r>
                    <w:rPr>
                      <w:rFonts w:hint="eastAsia"/>
                      <w:color w:val="auto"/>
                      <w:sz w:val="21"/>
                      <w:szCs w:val="21"/>
                      <w:lang w:val="en-US" w:eastAsia="zh-CN"/>
                    </w:rPr>
                    <w:t>10</w:t>
                  </w:r>
                  <w:r>
                    <w:rPr>
                      <w:rFonts w:hint="eastAsia"/>
                      <w:color w:val="auto"/>
                      <w:sz w:val="21"/>
                      <w:szCs w:val="21"/>
                    </w:rPr>
                    <w:t>0</w:t>
                  </w:r>
                </w:p>
              </w:tc>
              <w:tc>
                <w:tcPr>
                  <w:tcW w:w="627" w:type="dxa"/>
                  <w:vAlign w:val="center"/>
                </w:tcPr>
                <w:p>
                  <w:pPr>
                    <w:jc w:val="center"/>
                    <w:rPr>
                      <w:color w:val="auto"/>
                      <w:sz w:val="21"/>
                      <w:szCs w:val="21"/>
                    </w:rPr>
                  </w:pPr>
                  <w:r>
                    <w:rPr>
                      <w:rFonts w:hint="eastAsia"/>
                      <w:color w:val="auto"/>
                      <w:sz w:val="21"/>
                      <w:szCs w:val="21"/>
                    </w:rPr>
                    <w:t>1.5</w:t>
                  </w:r>
                </w:p>
              </w:tc>
              <w:tc>
                <w:tcPr>
                  <w:tcW w:w="852" w:type="dxa"/>
                </w:tcPr>
                <w:p>
                  <w:pPr>
                    <w:jc w:val="center"/>
                    <w:rPr>
                      <w:color w:val="auto"/>
                      <w:sz w:val="21"/>
                      <w:szCs w:val="21"/>
                    </w:rPr>
                  </w:pPr>
                  <w:r>
                    <w:rPr>
                      <w:rFonts w:hint="eastAsia"/>
                      <w:color w:val="auto"/>
                      <w:sz w:val="21"/>
                      <w:szCs w:val="21"/>
                    </w:rPr>
                    <w:t>80</w:t>
                  </w:r>
                </w:p>
              </w:tc>
              <w:tc>
                <w:tcPr>
                  <w:tcW w:w="1356" w:type="dxa"/>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vAlign w:val="center"/>
                </w:tcPr>
                <w:p>
                  <w:pPr>
                    <w:jc w:val="center"/>
                    <w:rPr>
                      <w:color w:val="auto"/>
                      <w:sz w:val="21"/>
                      <w:szCs w:val="21"/>
                    </w:rPr>
                  </w:pPr>
                  <w:r>
                    <w:rPr>
                      <w:rFonts w:hint="eastAsia"/>
                      <w:color w:val="auto"/>
                      <w:sz w:val="21"/>
                      <w:szCs w:val="21"/>
                    </w:rPr>
                    <w:t>20</w:t>
                  </w:r>
                </w:p>
              </w:tc>
              <w:tc>
                <w:tcPr>
                  <w:tcW w:w="776" w:type="dxa"/>
                  <w:vAlign w:val="center"/>
                </w:tcPr>
                <w:p>
                  <w:pPr>
                    <w:pStyle w:val="54"/>
                    <w:rPr>
                      <w:color w:val="auto"/>
                      <w:sz w:val="21"/>
                      <w:szCs w:val="21"/>
                    </w:rPr>
                  </w:pPr>
                  <w:r>
                    <w:rPr>
                      <w:rFonts w:hint="eastAsia"/>
                      <w:color w:val="auto"/>
                      <w:sz w:val="21"/>
                      <w:szCs w:val="21"/>
                    </w:rPr>
                    <w:t>60</w:t>
                  </w:r>
                </w:p>
              </w:tc>
              <w:tc>
                <w:tcPr>
                  <w:tcW w:w="998" w:type="dxa"/>
                  <w:vMerge w:val="restart"/>
                  <w:vAlign w:val="center"/>
                </w:tcPr>
                <w:p>
                  <w:pPr>
                    <w:jc w:val="center"/>
                    <w:rPr>
                      <w:color w:val="auto"/>
                      <w:sz w:val="21"/>
                      <w:szCs w:val="21"/>
                    </w:rPr>
                  </w:pPr>
                  <w:r>
                    <w:rPr>
                      <w:rFonts w:hint="eastAsia"/>
                      <w:color w:val="auto"/>
                      <w:sz w:val="21"/>
                      <w:szCs w:val="21"/>
                    </w:rPr>
                    <w:t>0</w:t>
                  </w:r>
                  <w:r>
                    <w:rPr>
                      <w:rFonts w:hint="eastAsia"/>
                      <w:color w:val="auto"/>
                      <w:sz w:val="21"/>
                      <w:szCs w:val="21"/>
                      <w:lang w:val="en-US" w:eastAsia="zh-CN"/>
                    </w:rPr>
                    <w:t>8</w:t>
                  </w:r>
                  <w:r>
                    <w:rPr>
                      <w:rFonts w:hint="eastAsia"/>
                      <w:color w:val="auto"/>
                      <w:sz w:val="21"/>
                      <w:szCs w:val="21"/>
                    </w:rPr>
                    <w:t>：</w:t>
                  </w:r>
                  <w:r>
                    <w:rPr>
                      <w:rFonts w:hint="eastAsia"/>
                      <w:color w:val="auto"/>
                      <w:sz w:val="21"/>
                      <w:szCs w:val="21"/>
                      <w:lang w:val="en-US" w:eastAsia="zh-CN"/>
                    </w:rPr>
                    <w:t>00</w:t>
                  </w:r>
                  <w:r>
                    <w:rPr>
                      <w:rFonts w:hint="eastAsia"/>
                      <w:color w:val="auto"/>
                      <w:sz w:val="21"/>
                      <w:szCs w:val="21"/>
                    </w:rPr>
                    <w:t>-</w:t>
                  </w:r>
                  <w:r>
                    <w:rPr>
                      <w:rFonts w:hint="eastAsia"/>
                      <w:color w:val="auto"/>
                      <w:sz w:val="21"/>
                      <w:szCs w:val="21"/>
                      <w:lang w:val="en-US" w:eastAsia="zh-CN"/>
                    </w:rPr>
                    <w:t>20：</w:t>
                  </w:r>
                  <w:r>
                    <w:rPr>
                      <w:rFonts w:hint="eastAsia"/>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Align w:val="center"/>
                </w:tcPr>
                <w:p>
                  <w:pPr>
                    <w:jc w:val="center"/>
                    <w:rPr>
                      <w:color w:val="auto"/>
                      <w:sz w:val="21"/>
                      <w:szCs w:val="21"/>
                    </w:rPr>
                  </w:pPr>
                  <w:r>
                    <w:rPr>
                      <w:rFonts w:hint="eastAsia"/>
                      <w:color w:val="auto"/>
                      <w:sz w:val="21"/>
                      <w:szCs w:val="21"/>
                    </w:rPr>
                    <w:t>2</w:t>
                  </w:r>
                </w:p>
              </w:tc>
              <w:tc>
                <w:tcPr>
                  <w:tcW w:w="1234" w:type="dxa"/>
                  <w:gridSpan w:val="2"/>
                </w:tcPr>
                <w:p>
                  <w:pPr>
                    <w:jc w:val="center"/>
                    <w:rPr>
                      <w:color w:val="auto"/>
                      <w:sz w:val="21"/>
                      <w:szCs w:val="21"/>
                    </w:rPr>
                  </w:pPr>
                  <w:r>
                    <w:rPr>
                      <w:rFonts w:hint="eastAsia"/>
                      <w:color w:val="auto"/>
                      <w:sz w:val="21"/>
                      <w:szCs w:val="21"/>
                    </w:rPr>
                    <w:t>燃烧器</w:t>
                  </w:r>
                </w:p>
              </w:tc>
              <w:tc>
                <w:tcPr>
                  <w:tcW w:w="636"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105</w:t>
                  </w:r>
                </w:p>
              </w:tc>
              <w:tc>
                <w:tcPr>
                  <w:tcW w:w="582"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627" w:type="dxa"/>
                  <w:vAlign w:val="center"/>
                </w:tcPr>
                <w:p>
                  <w:pPr>
                    <w:jc w:val="center"/>
                    <w:rPr>
                      <w:color w:val="auto"/>
                      <w:sz w:val="21"/>
                      <w:szCs w:val="21"/>
                    </w:rPr>
                  </w:pPr>
                  <w:r>
                    <w:rPr>
                      <w:rFonts w:hint="eastAsia"/>
                      <w:color w:val="auto"/>
                      <w:sz w:val="21"/>
                      <w:szCs w:val="21"/>
                    </w:rPr>
                    <w:t>1.5</w:t>
                  </w:r>
                </w:p>
              </w:tc>
              <w:tc>
                <w:tcPr>
                  <w:tcW w:w="852" w:type="dxa"/>
                </w:tcPr>
                <w:p>
                  <w:pPr>
                    <w:jc w:val="center"/>
                    <w:rPr>
                      <w:color w:val="auto"/>
                      <w:sz w:val="21"/>
                      <w:szCs w:val="21"/>
                    </w:rPr>
                  </w:pPr>
                  <w:r>
                    <w:rPr>
                      <w:rFonts w:hint="eastAsia"/>
                      <w:color w:val="auto"/>
                      <w:sz w:val="21"/>
                      <w:szCs w:val="21"/>
                    </w:rPr>
                    <w:t>80</w:t>
                  </w:r>
                </w:p>
              </w:tc>
              <w:tc>
                <w:tcPr>
                  <w:tcW w:w="1356" w:type="dxa"/>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vAlign w:val="center"/>
                </w:tcPr>
                <w:p>
                  <w:pPr>
                    <w:jc w:val="center"/>
                    <w:rPr>
                      <w:color w:val="auto"/>
                      <w:sz w:val="21"/>
                      <w:szCs w:val="21"/>
                    </w:rPr>
                  </w:pPr>
                  <w:r>
                    <w:rPr>
                      <w:rFonts w:hint="eastAsia"/>
                      <w:color w:val="auto"/>
                      <w:sz w:val="21"/>
                      <w:szCs w:val="21"/>
                    </w:rPr>
                    <w:t>20</w:t>
                  </w:r>
                </w:p>
              </w:tc>
              <w:tc>
                <w:tcPr>
                  <w:tcW w:w="776" w:type="dxa"/>
                  <w:vAlign w:val="center"/>
                </w:tcPr>
                <w:p>
                  <w:pPr>
                    <w:pStyle w:val="54"/>
                    <w:rPr>
                      <w:color w:val="auto"/>
                      <w:sz w:val="21"/>
                      <w:szCs w:val="21"/>
                    </w:rPr>
                  </w:pPr>
                  <w:r>
                    <w:rPr>
                      <w:rFonts w:hint="eastAsia"/>
                      <w:color w:val="auto"/>
                      <w:sz w:val="21"/>
                      <w:szCs w:val="21"/>
                    </w:rPr>
                    <w:t>60</w:t>
                  </w:r>
                </w:p>
              </w:tc>
              <w:tc>
                <w:tcPr>
                  <w:tcW w:w="998" w:type="dxa"/>
                  <w:vMerge w:val="continue"/>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90" w:hRule="atLeast"/>
                <w:jc w:val="center"/>
              </w:trPr>
              <w:tc>
                <w:tcPr>
                  <w:tcW w:w="686" w:type="dxa"/>
                  <w:vAlign w:val="center"/>
                </w:tcPr>
                <w:p>
                  <w:pPr>
                    <w:jc w:val="center"/>
                    <w:rPr>
                      <w:color w:val="auto"/>
                      <w:sz w:val="21"/>
                      <w:szCs w:val="21"/>
                    </w:rPr>
                  </w:pPr>
                  <w:r>
                    <w:rPr>
                      <w:rFonts w:hint="eastAsia"/>
                      <w:color w:val="auto"/>
                      <w:sz w:val="21"/>
                      <w:szCs w:val="21"/>
                    </w:rPr>
                    <w:t>3</w:t>
                  </w:r>
                </w:p>
              </w:tc>
              <w:tc>
                <w:tcPr>
                  <w:tcW w:w="605" w:type="dxa"/>
                  <w:vMerge w:val="restart"/>
                </w:tcPr>
                <w:p>
                  <w:pPr>
                    <w:jc w:val="center"/>
                    <w:rPr>
                      <w:color w:val="auto"/>
                      <w:sz w:val="21"/>
                      <w:szCs w:val="21"/>
                    </w:rPr>
                  </w:pPr>
                  <w:r>
                    <w:rPr>
                      <w:rFonts w:hint="eastAsia"/>
                      <w:color w:val="auto"/>
                      <w:sz w:val="21"/>
                      <w:szCs w:val="21"/>
                    </w:rPr>
                    <w:t>沥青搅拌装置</w:t>
                  </w:r>
                </w:p>
              </w:tc>
              <w:tc>
                <w:tcPr>
                  <w:tcW w:w="629" w:type="dxa"/>
                  <w:shd w:val="clear" w:color="auto" w:fill="auto"/>
                </w:tcPr>
                <w:p>
                  <w:pPr>
                    <w:jc w:val="center"/>
                    <w:rPr>
                      <w:color w:val="auto"/>
                      <w:sz w:val="21"/>
                      <w:szCs w:val="21"/>
                    </w:rPr>
                  </w:pPr>
                  <w:r>
                    <w:rPr>
                      <w:rFonts w:hint="eastAsia"/>
                      <w:color w:val="auto"/>
                      <w:sz w:val="21"/>
                      <w:szCs w:val="21"/>
                    </w:rPr>
                    <w:t>搅拌机</w:t>
                  </w:r>
                </w:p>
              </w:tc>
              <w:tc>
                <w:tcPr>
                  <w:tcW w:w="636"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125</w:t>
                  </w:r>
                </w:p>
              </w:tc>
              <w:tc>
                <w:tcPr>
                  <w:tcW w:w="582"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627" w:type="dxa"/>
                  <w:vAlign w:val="center"/>
                </w:tcPr>
                <w:p>
                  <w:pPr>
                    <w:jc w:val="center"/>
                    <w:rPr>
                      <w:color w:val="auto"/>
                      <w:sz w:val="21"/>
                      <w:szCs w:val="21"/>
                    </w:rPr>
                  </w:pPr>
                  <w:r>
                    <w:rPr>
                      <w:rFonts w:hint="eastAsia"/>
                      <w:color w:val="auto"/>
                      <w:sz w:val="21"/>
                      <w:szCs w:val="21"/>
                    </w:rPr>
                    <w:t>1.5</w:t>
                  </w:r>
                </w:p>
              </w:tc>
              <w:tc>
                <w:tcPr>
                  <w:tcW w:w="852" w:type="dxa"/>
                </w:tcPr>
                <w:p>
                  <w:pPr>
                    <w:jc w:val="center"/>
                    <w:rPr>
                      <w:color w:val="auto"/>
                      <w:sz w:val="21"/>
                      <w:szCs w:val="21"/>
                    </w:rPr>
                  </w:pPr>
                  <w:r>
                    <w:rPr>
                      <w:rFonts w:hint="eastAsia"/>
                      <w:color w:val="auto"/>
                      <w:sz w:val="21"/>
                      <w:szCs w:val="21"/>
                    </w:rPr>
                    <w:t>85</w:t>
                  </w:r>
                </w:p>
              </w:tc>
              <w:tc>
                <w:tcPr>
                  <w:tcW w:w="1356" w:type="dxa"/>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vAlign w:val="center"/>
                </w:tcPr>
                <w:p>
                  <w:pPr>
                    <w:jc w:val="center"/>
                    <w:rPr>
                      <w:color w:val="auto"/>
                      <w:sz w:val="21"/>
                      <w:szCs w:val="21"/>
                    </w:rPr>
                  </w:pPr>
                  <w:r>
                    <w:rPr>
                      <w:rFonts w:hint="eastAsia"/>
                      <w:color w:val="auto"/>
                      <w:sz w:val="21"/>
                      <w:szCs w:val="21"/>
                    </w:rPr>
                    <w:t>20</w:t>
                  </w:r>
                </w:p>
              </w:tc>
              <w:tc>
                <w:tcPr>
                  <w:tcW w:w="776" w:type="dxa"/>
                  <w:vAlign w:val="center"/>
                </w:tcPr>
                <w:p>
                  <w:pPr>
                    <w:pStyle w:val="54"/>
                    <w:rPr>
                      <w:color w:val="auto"/>
                      <w:sz w:val="21"/>
                      <w:szCs w:val="21"/>
                    </w:rPr>
                  </w:pPr>
                  <w:r>
                    <w:rPr>
                      <w:rFonts w:hint="eastAsia"/>
                      <w:color w:val="auto"/>
                      <w:sz w:val="21"/>
                      <w:szCs w:val="21"/>
                    </w:rPr>
                    <w:t>65</w:t>
                  </w:r>
                </w:p>
              </w:tc>
              <w:tc>
                <w:tcPr>
                  <w:tcW w:w="998" w:type="dxa"/>
                  <w:vMerge w:val="continue"/>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Align w:val="center"/>
                </w:tcPr>
                <w:p>
                  <w:pPr>
                    <w:jc w:val="center"/>
                    <w:rPr>
                      <w:color w:val="auto"/>
                      <w:sz w:val="21"/>
                      <w:szCs w:val="21"/>
                    </w:rPr>
                  </w:pPr>
                  <w:r>
                    <w:rPr>
                      <w:rFonts w:hint="eastAsia"/>
                      <w:color w:val="auto"/>
                      <w:sz w:val="21"/>
                      <w:szCs w:val="21"/>
                    </w:rPr>
                    <w:t>4</w:t>
                  </w:r>
                </w:p>
              </w:tc>
              <w:tc>
                <w:tcPr>
                  <w:tcW w:w="605" w:type="dxa"/>
                  <w:vMerge w:val="continue"/>
                </w:tcPr>
                <w:p>
                  <w:pPr>
                    <w:jc w:val="center"/>
                    <w:rPr>
                      <w:color w:val="auto"/>
                      <w:sz w:val="21"/>
                      <w:szCs w:val="21"/>
                    </w:rPr>
                  </w:pPr>
                </w:p>
              </w:tc>
              <w:tc>
                <w:tcPr>
                  <w:tcW w:w="629" w:type="dxa"/>
                  <w:shd w:val="clear" w:color="auto" w:fill="auto"/>
                </w:tcPr>
                <w:p>
                  <w:pPr>
                    <w:jc w:val="center"/>
                    <w:rPr>
                      <w:color w:val="auto"/>
                      <w:sz w:val="21"/>
                      <w:szCs w:val="21"/>
                    </w:rPr>
                  </w:pPr>
                  <w:r>
                    <w:rPr>
                      <w:rFonts w:hint="eastAsia"/>
                      <w:color w:val="auto"/>
                      <w:sz w:val="21"/>
                      <w:szCs w:val="21"/>
                    </w:rPr>
                    <w:t>风机</w:t>
                  </w:r>
                </w:p>
              </w:tc>
              <w:tc>
                <w:tcPr>
                  <w:tcW w:w="636"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127</w:t>
                  </w:r>
                </w:p>
              </w:tc>
              <w:tc>
                <w:tcPr>
                  <w:tcW w:w="582"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627" w:type="dxa"/>
                  <w:vAlign w:val="center"/>
                </w:tcPr>
                <w:p>
                  <w:pPr>
                    <w:jc w:val="center"/>
                    <w:rPr>
                      <w:color w:val="auto"/>
                      <w:sz w:val="21"/>
                      <w:szCs w:val="21"/>
                    </w:rPr>
                  </w:pPr>
                  <w:r>
                    <w:rPr>
                      <w:rFonts w:hint="eastAsia"/>
                      <w:color w:val="auto"/>
                      <w:sz w:val="21"/>
                      <w:szCs w:val="21"/>
                    </w:rPr>
                    <w:t>1.5</w:t>
                  </w:r>
                </w:p>
              </w:tc>
              <w:tc>
                <w:tcPr>
                  <w:tcW w:w="852" w:type="dxa"/>
                </w:tcPr>
                <w:p>
                  <w:pPr>
                    <w:jc w:val="center"/>
                    <w:rPr>
                      <w:color w:val="auto"/>
                      <w:sz w:val="21"/>
                      <w:szCs w:val="21"/>
                    </w:rPr>
                  </w:pPr>
                  <w:r>
                    <w:rPr>
                      <w:rFonts w:hint="eastAsia"/>
                      <w:color w:val="auto"/>
                      <w:sz w:val="21"/>
                      <w:szCs w:val="21"/>
                    </w:rPr>
                    <w:t>90</w:t>
                  </w:r>
                </w:p>
              </w:tc>
              <w:tc>
                <w:tcPr>
                  <w:tcW w:w="1356" w:type="dxa"/>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vAlign w:val="center"/>
                </w:tcPr>
                <w:p>
                  <w:pPr>
                    <w:jc w:val="center"/>
                    <w:rPr>
                      <w:color w:val="auto"/>
                      <w:sz w:val="21"/>
                      <w:szCs w:val="21"/>
                    </w:rPr>
                  </w:pPr>
                  <w:r>
                    <w:rPr>
                      <w:rFonts w:hint="eastAsia"/>
                      <w:color w:val="auto"/>
                      <w:sz w:val="21"/>
                      <w:szCs w:val="21"/>
                    </w:rPr>
                    <w:t>20</w:t>
                  </w:r>
                </w:p>
              </w:tc>
              <w:tc>
                <w:tcPr>
                  <w:tcW w:w="776" w:type="dxa"/>
                  <w:vAlign w:val="center"/>
                </w:tcPr>
                <w:p>
                  <w:pPr>
                    <w:pStyle w:val="54"/>
                    <w:rPr>
                      <w:color w:val="auto"/>
                      <w:sz w:val="21"/>
                      <w:szCs w:val="21"/>
                    </w:rPr>
                  </w:pPr>
                  <w:r>
                    <w:rPr>
                      <w:rFonts w:hint="eastAsia"/>
                      <w:color w:val="auto"/>
                      <w:sz w:val="21"/>
                      <w:szCs w:val="21"/>
                    </w:rPr>
                    <w:t>70</w:t>
                  </w:r>
                </w:p>
              </w:tc>
              <w:tc>
                <w:tcPr>
                  <w:tcW w:w="998" w:type="dxa"/>
                  <w:vMerge w:val="continue"/>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Align w:val="center"/>
                </w:tcPr>
                <w:p>
                  <w:pPr>
                    <w:jc w:val="center"/>
                    <w:rPr>
                      <w:color w:val="auto"/>
                      <w:sz w:val="21"/>
                      <w:szCs w:val="21"/>
                    </w:rPr>
                  </w:pPr>
                  <w:r>
                    <w:rPr>
                      <w:rFonts w:hint="eastAsia"/>
                      <w:color w:val="auto"/>
                      <w:sz w:val="21"/>
                      <w:szCs w:val="21"/>
                    </w:rPr>
                    <w:t>5</w:t>
                  </w:r>
                </w:p>
              </w:tc>
              <w:tc>
                <w:tcPr>
                  <w:tcW w:w="605" w:type="dxa"/>
                  <w:vMerge w:val="continue"/>
                </w:tcPr>
                <w:p>
                  <w:pPr>
                    <w:jc w:val="center"/>
                    <w:rPr>
                      <w:color w:val="auto"/>
                      <w:sz w:val="21"/>
                      <w:szCs w:val="21"/>
                    </w:rPr>
                  </w:pPr>
                </w:p>
              </w:tc>
              <w:tc>
                <w:tcPr>
                  <w:tcW w:w="629" w:type="dxa"/>
                  <w:shd w:val="clear" w:color="auto" w:fill="auto"/>
                </w:tcPr>
                <w:p>
                  <w:pPr>
                    <w:jc w:val="center"/>
                    <w:rPr>
                      <w:color w:val="auto"/>
                      <w:sz w:val="21"/>
                      <w:szCs w:val="21"/>
                    </w:rPr>
                  </w:pPr>
                  <w:r>
                    <w:rPr>
                      <w:rFonts w:hint="eastAsia"/>
                      <w:color w:val="auto"/>
                      <w:sz w:val="21"/>
                      <w:szCs w:val="21"/>
                    </w:rPr>
                    <w:t>上料机</w:t>
                  </w:r>
                </w:p>
              </w:tc>
              <w:tc>
                <w:tcPr>
                  <w:tcW w:w="636"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135</w:t>
                  </w:r>
                </w:p>
              </w:tc>
              <w:tc>
                <w:tcPr>
                  <w:tcW w:w="582"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627" w:type="dxa"/>
                  <w:vAlign w:val="center"/>
                </w:tcPr>
                <w:p>
                  <w:pPr>
                    <w:jc w:val="center"/>
                    <w:rPr>
                      <w:color w:val="auto"/>
                      <w:sz w:val="21"/>
                      <w:szCs w:val="21"/>
                    </w:rPr>
                  </w:pPr>
                  <w:r>
                    <w:rPr>
                      <w:rFonts w:hint="eastAsia"/>
                      <w:color w:val="auto"/>
                      <w:sz w:val="21"/>
                      <w:szCs w:val="21"/>
                    </w:rPr>
                    <w:t>1.5</w:t>
                  </w:r>
                </w:p>
              </w:tc>
              <w:tc>
                <w:tcPr>
                  <w:tcW w:w="852" w:type="dxa"/>
                </w:tcPr>
                <w:p>
                  <w:pPr>
                    <w:jc w:val="center"/>
                    <w:rPr>
                      <w:color w:val="auto"/>
                      <w:sz w:val="21"/>
                      <w:szCs w:val="21"/>
                    </w:rPr>
                  </w:pPr>
                  <w:r>
                    <w:rPr>
                      <w:rFonts w:hint="eastAsia"/>
                      <w:color w:val="auto"/>
                      <w:sz w:val="21"/>
                      <w:szCs w:val="21"/>
                    </w:rPr>
                    <w:t>80</w:t>
                  </w:r>
                </w:p>
              </w:tc>
              <w:tc>
                <w:tcPr>
                  <w:tcW w:w="1356" w:type="dxa"/>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vAlign w:val="center"/>
                </w:tcPr>
                <w:p>
                  <w:pPr>
                    <w:pStyle w:val="54"/>
                    <w:rPr>
                      <w:color w:val="auto"/>
                      <w:sz w:val="21"/>
                      <w:szCs w:val="21"/>
                    </w:rPr>
                  </w:pPr>
                  <w:r>
                    <w:rPr>
                      <w:rFonts w:hint="eastAsia"/>
                      <w:color w:val="auto"/>
                      <w:sz w:val="21"/>
                      <w:szCs w:val="21"/>
                    </w:rPr>
                    <w:t>20</w:t>
                  </w:r>
                </w:p>
              </w:tc>
              <w:tc>
                <w:tcPr>
                  <w:tcW w:w="776" w:type="dxa"/>
                  <w:vAlign w:val="center"/>
                </w:tcPr>
                <w:p>
                  <w:pPr>
                    <w:pStyle w:val="54"/>
                    <w:rPr>
                      <w:color w:val="auto"/>
                      <w:sz w:val="21"/>
                      <w:szCs w:val="21"/>
                    </w:rPr>
                  </w:pPr>
                  <w:r>
                    <w:rPr>
                      <w:rFonts w:hint="eastAsia"/>
                      <w:color w:val="auto"/>
                      <w:sz w:val="21"/>
                      <w:szCs w:val="21"/>
                    </w:rPr>
                    <w:t>60</w:t>
                  </w:r>
                </w:p>
              </w:tc>
              <w:tc>
                <w:tcPr>
                  <w:tcW w:w="998" w:type="dxa"/>
                  <w:vMerge w:val="continue"/>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Align w:val="center"/>
                </w:tcPr>
                <w:p>
                  <w:pPr>
                    <w:jc w:val="center"/>
                    <w:rPr>
                      <w:color w:val="auto"/>
                      <w:sz w:val="21"/>
                      <w:szCs w:val="21"/>
                    </w:rPr>
                  </w:pPr>
                  <w:r>
                    <w:rPr>
                      <w:rFonts w:hint="eastAsia"/>
                      <w:color w:val="auto"/>
                      <w:sz w:val="21"/>
                      <w:szCs w:val="21"/>
                    </w:rPr>
                    <w:t>6</w:t>
                  </w:r>
                </w:p>
              </w:tc>
              <w:tc>
                <w:tcPr>
                  <w:tcW w:w="605" w:type="dxa"/>
                  <w:vMerge w:val="continue"/>
                </w:tcPr>
                <w:p>
                  <w:pPr>
                    <w:jc w:val="center"/>
                    <w:rPr>
                      <w:color w:val="auto"/>
                      <w:sz w:val="21"/>
                      <w:szCs w:val="21"/>
                    </w:rPr>
                  </w:pPr>
                </w:p>
              </w:tc>
              <w:tc>
                <w:tcPr>
                  <w:tcW w:w="629" w:type="dxa"/>
                  <w:shd w:val="clear" w:color="auto" w:fill="auto"/>
                </w:tcPr>
                <w:p>
                  <w:pPr>
                    <w:jc w:val="center"/>
                    <w:rPr>
                      <w:color w:val="auto"/>
                      <w:sz w:val="21"/>
                      <w:szCs w:val="21"/>
                    </w:rPr>
                  </w:pPr>
                  <w:r>
                    <w:rPr>
                      <w:rFonts w:hint="eastAsia"/>
                      <w:color w:val="auto"/>
                      <w:sz w:val="21"/>
                      <w:szCs w:val="21"/>
                    </w:rPr>
                    <w:t>提升机</w:t>
                  </w:r>
                </w:p>
              </w:tc>
              <w:tc>
                <w:tcPr>
                  <w:tcW w:w="636"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110</w:t>
                  </w:r>
                </w:p>
              </w:tc>
              <w:tc>
                <w:tcPr>
                  <w:tcW w:w="582"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627" w:type="dxa"/>
                  <w:vAlign w:val="center"/>
                </w:tcPr>
                <w:p>
                  <w:pPr>
                    <w:jc w:val="center"/>
                    <w:rPr>
                      <w:color w:val="auto"/>
                      <w:sz w:val="21"/>
                      <w:szCs w:val="21"/>
                    </w:rPr>
                  </w:pPr>
                  <w:r>
                    <w:rPr>
                      <w:rFonts w:hint="eastAsia"/>
                      <w:color w:val="auto"/>
                      <w:sz w:val="21"/>
                      <w:szCs w:val="21"/>
                    </w:rPr>
                    <w:t>1.5</w:t>
                  </w:r>
                </w:p>
              </w:tc>
              <w:tc>
                <w:tcPr>
                  <w:tcW w:w="852" w:type="dxa"/>
                </w:tcPr>
                <w:p>
                  <w:pPr>
                    <w:jc w:val="center"/>
                    <w:rPr>
                      <w:color w:val="auto"/>
                      <w:sz w:val="21"/>
                      <w:szCs w:val="21"/>
                    </w:rPr>
                  </w:pPr>
                  <w:r>
                    <w:rPr>
                      <w:rFonts w:hint="eastAsia"/>
                      <w:color w:val="auto"/>
                      <w:sz w:val="21"/>
                      <w:szCs w:val="21"/>
                    </w:rPr>
                    <w:t>80</w:t>
                  </w:r>
                </w:p>
              </w:tc>
              <w:tc>
                <w:tcPr>
                  <w:tcW w:w="1356" w:type="dxa"/>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vAlign w:val="center"/>
                </w:tcPr>
                <w:p>
                  <w:pPr>
                    <w:jc w:val="center"/>
                    <w:rPr>
                      <w:color w:val="auto"/>
                      <w:sz w:val="21"/>
                      <w:szCs w:val="21"/>
                    </w:rPr>
                  </w:pPr>
                  <w:r>
                    <w:rPr>
                      <w:rFonts w:hint="eastAsia"/>
                      <w:color w:val="auto"/>
                      <w:sz w:val="21"/>
                      <w:szCs w:val="21"/>
                    </w:rPr>
                    <w:t>20</w:t>
                  </w:r>
                </w:p>
              </w:tc>
              <w:tc>
                <w:tcPr>
                  <w:tcW w:w="776" w:type="dxa"/>
                  <w:vAlign w:val="center"/>
                </w:tcPr>
                <w:p>
                  <w:pPr>
                    <w:jc w:val="center"/>
                    <w:rPr>
                      <w:color w:val="auto"/>
                      <w:sz w:val="21"/>
                      <w:szCs w:val="21"/>
                    </w:rPr>
                  </w:pPr>
                  <w:r>
                    <w:rPr>
                      <w:rFonts w:hint="eastAsia"/>
                      <w:color w:val="auto"/>
                      <w:sz w:val="21"/>
                      <w:szCs w:val="21"/>
                    </w:rPr>
                    <w:t>60</w:t>
                  </w:r>
                </w:p>
              </w:tc>
              <w:tc>
                <w:tcPr>
                  <w:tcW w:w="998" w:type="dxa"/>
                  <w:vMerge w:val="continue"/>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Align w:val="center"/>
                </w:tcPr>
                <w:p>
                  <w:pPr>
                    <w:jc w:val="center"/>
                    <w:rPr>
                      <w:color w:val="auto"/>
                      <w:sz w:val="21"/>
                      <w:szCs w:val="21"/>
                    </w:rPr>
                  </w:pPr>
                  <w:r>
                    <w:rPr>
                      <w:rFonts w:hint="eastAsia"/>
                      <w:color w:val="auto"/>
                      <w:sz w:val="21"/>
                      <w:szCs w:val="21"/>
                    </w:rPr>
                    <w:t>7</w:t>
                  </w:r>
                </w:p>
              </w:tc>
              <w:tc>
                <w:tcPr>
                  <w:tcW w:w="605" w:type="dxa"/>
                  <w:vMerge w:val="continue"/>
                </w:tcPr>
                <w:p>
                  <w:pPr>
                    <w:jc w:val="center"/>
                    <w:rPr>
                      <w:color w:val="auto"/>
                      <w:sz w:val="21"/>
                      <w:szCs w:val="21"/>
                    </w:rPr>
                  </w:pPr>
                </w:p>
              </w:tc>
              <w:tc>
                <w:tcPr>
                  <w:tcW w:w="629" w:type="dxa"/>
                  <w:shd w:val="clear" w:color="auto" w:fill="auto"/>
                </w:tcPr>
                <w:p>
                  <w:pPr>
                    <w:jc w:val="center"/>
                    <w:rPr>
                      <w:color w:val="auto"/>
                      <w:sz w:val="21"/>
                      <w:szCs w:val="21"/>
                    </w:rPr>
                  </w:pPr>
                  <w:r>
                    <w:rPr>
                      <w:rFonts w:hint="eastAsia"/>
                      <w:color w:val="auto"/>
                      <w:sz w:val="21"/>
                      <w:szCs w:val="21"/>
                    </w:rPr>
                    <w:t>振动筛</w:t>
                  </w:r>
                </w:p>
              </w:tc>
              <w:tc>
                <w:tcPr>
                  <w:tcW w:w="636" w:type="dxa"/>
                  <w:shd w:val="clear" w:color="auto" w:fill="auto"/>
                  <w:vAlign w:val="center"/>
                </w:tcPr>
                <w:p>
                  <w:pPr>
                    <w:jc w:val="center"/>
                    <w:rPr>
                      <w:rFonts w:hint="default" w:eastAsia="宋体"/>
                      <w:color w:val="auto"/>
                      <w:sz w:val="21"/>
                      <w:szCs w:val="21"/>
                      <w:lang w:val="en-US" w:eastAsia="zh-CN"/>
                    </w:rPr>
                  </w:pPr>
                  <w:r>
                    <w:rPr>
                      <w:rFonts w:hint="eastAsia"/>
                      <w:color w:val="auto"/>
                      <w:sz w:val="21"/>
                      <w:szCs w:val="21"/>
                      <w:lang w:val="en-US" w:eastAsia="zh-CN"/>
                    </w:rPr>
                    <w:t>115</w:t>
                  </w:r>
                </w:p>
              </w:tc>
              <w:tc>
                <w:tcPr>
                  <w:tcW w:w="582" w:type="dxa"/>
                  <w:shd w:val="clear" w:color="auto" w:fill="auto"/>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627" w:type="dxa"/>
                  <w:shd w:val="clear" w:color="auto" w:fill="auto"/>
                  <w:vAlign w:val="center"/>
                </w:tcPr>
                <w:p>
                  <w:pPr>
                    <w:jc w:val="center"/>
                    <w:rPr>
                      <w:color w:val="auto"/>
                      <w:sz w:val="21"/>
                      <w:szCs w:val="21"/>
                    </w:rPr>
                  </w:pPr>
                  <w:r>
                    <w:rPr>
                      <w:rFonts w:hint="eastAsia"/>
                      <w:color w:val="auto"/>
                      <w:sz w:val="21"/>
                      <w:szCs w:val="21"/>
                    </w:rPr>
                    <w:t>1.5</w:t>
                  </w:r>
                </w:p>
              </w:tc>
              <w:tc>
                <w:tcPr>
                  <w:tcW w:w="852" w:type="dxa"/>
                  <w:shd w:val="clear" w:color="auto" w:fill="auto"/>
                </w:tcPr>
                <w:p>
                  <w:pPr>
                    <w:jc w:val="center"/>
                    <w:rPr>
                      <w:color w:val="auto"/>
                      <w:sz w:val="21"/>
                      <w:szCs w:val="21"/>
                    </w:rPr>
                  </w:pPr>
                  <w:r>
                    <w:rPr>
                      <w:rFonts w:hint="eastAsia"/>
                      <w:color w:val="auto"/>
                      <w:sz w:val="21"/>
                      <w:szCs w:val="21"/>
                    </w:rPr>
                    <w:t>85</w:t>
                  </w:r>
                </w:p>
              </w:tc>
              <w:tc>
                <w:tcPr>
                  <w:tcW w:w="1356" w:type="dxa"/>
                  <w:shd w:val="clear" w:color="auto" w:fill="auto"/>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shd w:val="clear" w:color="auto" w:fill="auto"/>
                  <w:vAlign w:val="center"/>
                </w:tcPr>
                <w:p>
                  <w:pPr>
                    <w:jc w:val="center"/>
                    <w:rPr>
                      <w:color w:val="auto"/>
                      <w:sz w:val="21"/>
                      <w:szCs w:val="21"/>
                    </w:rPr>
                  </w:pPr>
                  <w:r>
                    <w:rPr>
                      <w:rFonts w:hint="eastAsia"/>
                      <w:color w:val="auto"/>
                      <w:sz w:val="21"/>
                      <w:szCs w:val="21"/>
                    </w:rPr>
                    <w:t>20</w:t>
                  </w:r>
                </w:p>
              </w:tc>
              <w:tc>
                <w:tcPr>
                  <w:tcW w:w="776" w:type="dxa"/>
                  <w:shd w:val="clear" w:color="auto" w:fill="auto"/>
                  <w:vAlign w:val="center"/>
                </w:tcPr>
                <w:p>
                  <w:pPr>
                    <w:pStyle w:val="54"/>
                    <w:rPr>
                      <w:color w:val="auto"/>
                      <w:sz w:val="21"/>
                      <w:szCs w:val="21"/>
                    </w:rPr>
                  </w:pPr>
                  <w:r>
                    <w:rPr>
                      <w:rFonts w:hint="eastAsia"/>
                      <w:color w:val="auto"/>
                      <w:sz w:val="21"/>
                      <w:szCs w:val="21"/>
                    </w:rPr>
                    <w:t>65</w:t>
                  </w:r>
                </w:p>
              </w:tc>
              <w:tc>
                <w:tcPr>
                  <w:tcW w:w="998" w:type="dxa"/>
                  <w:vMerge w:val="continue"/>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686" w:type="dxa"/>
                  <w:vAlign w:val="center"/>
                </w:tcPr>
                <w:p>
                  <w:pPr>
                    <w:jc w:val="center"/>
                    <w:rPr>
                      <w:color w:val="auto"/>
                      <w:sz w:val="21"/>
                      <w:szCs w:val="21"/>
                    </w:rPr>
                  </w:pPr>
                  <w:r>
                    <w:rPr>
                      <w:rFonts w:hint="eastAsia"/>
                      <w:color w:val="auto"/>
                      <w:sz w:val="21"/>
                      <w:szCs w:val="21"/>
                    </w:rPr>
                    <w:t>8</w:t>
                  </w:r>
                </w:p>
              </w:tc>
              <w:tc>
                <w:tcPr>
                  <w:tcW w:w="605" w:type="dxa"/>
                </w:tcPr>
                <w:p>
                  <w:pPr>
                    <w:jc w:val="center"/>
                    <w:rPr>
                      <w:color w:val="auto"/>
                      <w:sz w:val="21"/>
                      <w:szCs w:val="21"/>
                    </w:rPr>
                  </w:pPr>
                  <w:r>
                    <w:rPr>
                      <w:rFonts w:hint="eastAsia"/>
                      <w:color w:val="auto"/>
                      <w:sz w:val="21"/>
                      <w:szCs w:val="21"/>
                    </w:rPr>
                    <w:t>导热油炉</w:t>
                  </w:r>
                </w:p>
              </w:tc>
              <w:tc>
                <w:tcPr>
                  <w:tcW w:w="629" w:type="dxa"/>
                  <w:shd w:val="clear" w:color="auto" w:fill="auto"/>
                </w:tcPr>
                <w:p>
                  <w:pPr>
                    <w:jc w:val="center"/>
                    <w:rPr>
                      <w:color w:val="auto"/>
                      <w:sz w:val="21"/>
                      <w:szCs w:val="21"/>
                    </w:rPr>
                  </w:pPr>
                  <w:r>
                    <w:rPr>
                      <w:rFonts w:hint="eastAsia"/>
                      <w:color w:val="auto"/>
                      <w:sz w:val="21"/>
                      <w:szCs w:val="21"/>
                    </w:rPr>
                    <w:t>锅炉风机</w:t>
                  </w:r>
                </w:p>
              </w:tc>
              <w:tc>
                <w:tcPr>
                  <w:tcW w:w="636" w:type="dxa"/>
                  <w:shd w:val="clear" w:color="auto" w:fill="auto"/>
                  <w:vAlign w:val="center"/>
                </w:tcPr>
                <w:p>
                  <w:pPr>
                    <w:jc w:val="center"/>
                    <w:rPr>
                      <w:rFonts w:hint="default" w:eastAsia="宋体"/>
                      <w:color w:val="auto"/>
                      <w:sz w:val="21"/>
                      <w:szCs w:val="21"/>
                      <w:lang w:val="en-US" w:eastAsia="zh-CN"/>
                    </w:rPr>
                  </w:pPr>
                  <w:r>
                    <w:rPr>
                      <w:rFonts w:hint="eastAsia"/>
                      <w:color w:val="auto"/>
                      <w:sz w:val="21"/>
                      <w:szCs w:val="21"/>
                      <w:lang w:val="en-US" w:eastAsia="zh-CN"/>
                    </w:rPr>
                    <w:t>140</w:t>
                  </w:r>
                </w:p>
              </w:tc>
              <w:tc>
                <w:tcPr>
                  <w:tcW w:w="582" w:type="dxa"/>
                  <w:shd w:val="clear" w:color="auto" w:fill="auto"/>
                  <w:vAlign w:val="center"/>
                </w:tcPr>
                <w:p>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627" w:type="dxa"/>
                  <w:shd w:val="clear" w:color="auto" w:fill="auto"/>
                  <w:vAlign w:val="center"/>
                </w:tcPr>
                <w:p>
                  <w:pPr>
                    <w:jc w:val="center"/>
                    <w:rPr>
                      <w:color w:val="auto"/>
                      <w:sz w:val="21"/>
                      <w:szCs w:val="21"/>
                    </w:rPr>
                  </w:pPr>
                  <w:r>
                    <w:rPr>
                      <w:rFonts w:hint="eastAsia"/>
                      <w:color w:val="auto"/>
                      <w:sz w:val="21"/>
                      <w:szCs w:val="21"/>
                    </w:rPr>
                    <w:t>1.5</w:t>
                  </w:r>
                </w:p>
              </w:tc>
              <w:tc>
                <w:tcPr>
                  <w:tcW w:w="852" w:type="dxa"/>
                  <w:shd w:val="clear" w:color="auto" w:fill="auto"/>
                </w:tcPr>
                <w:p>
                  <w:pPr>
                    <w:jc w:val="center"/>
                    <w:rPr>
                      <w:color w:val="auto"/>
                      <w:sz w:val="21"/>
                      <w:szCs w:val="21"/>
                    </w:rPr>
                  </w:pPr>
                  <w:r>
                    <w:rPr>
                      <w:rFonts w:hint="eastAsia"/>
                      <w:color w:val="auto"/>
                      <w:sz w:val="21"/>
                      <w:szCs w:val="21"/>
                    </w:rPr>
                    <w:t>90</w:t>
                  </w:r>
                </w:p>
              </w:tc>
              <w:tc>
                <w:tcPr>
                  <w:tcW w:w="1356" w:type="dxa"/>
                  <w:shd w:val="clear" w:color="auto" w:fill="auto"/>
                  <w:vAlign w:val="center"/>
                </w:tcPr>
                <w:p>
                  <w:pPr>
                    <w:jc w:val="center"/>
                    <w:rPr>
                      <w:color w:val="auto"/>
                      <w:sz w:val="21"/>
                      <w:szCs w:val="21"/>
                    </w:rPr>
                  </w:pPr>
                  <w:r>
                    <w:rPr>
                      <w:rFonts w:hint="eastAsia"/>
                      <w:color w:val="auto"/>
                      <w:sz w:val="21"/>
                      <w:szCs w:val="21"/>
                    </w:rPr>
                    <w:t>选择低噪声设备、</w:t>
                  </w:r>
                  <w:r>
                    <w:rPr>
                      <w:rFonts w:hint="eastAsia"/>
                      <w:color w:val="auto"/>
                      <w:sz w:val="21"/>
                      <w:szCs w:val="21"/>
                      <w:lang w:eastAsia="zh-CN"/>
                    </w:rPr>
                    <w:t>减振</w:t>
                  </w:r>
                </w:p>
              </w:tc>
              <w:tc>
                <w:tcPr>
                  <w:tcW w:w="685" w:type="dxa"/>
                  <w:shd w:val="clear" w:color="auto" w:fill="auto"/>
                  <w:vAlign w:val="center"/>
                </w:tcPr>
                <w:p>
                  <w:pPr>
                    <w:jc w:val="center"/>
                    <w:rPr>
                      <w:color w:val="auto"/>
                      <w:sz w:val="21"/>
                      <w:szCs w:val="21"/>
                    </w:rPr>
                  </w:pPr>
                  <w:r>
                    <w:rPr>
                      <w:rFonts w:hint="eastAsia"/>
                      <w:color w:val="auto"/>
                      <w:sz w:val="21"/>
                      <w:szCs w:val="21"/>
                    </w:rPr>
                    <w:t>20</w:t>
                  </w:r>
                </w:p>
              </w:tc>
              <w:tc>
                <w:tcPr>
                  <w:tcW w:w="776" w:type="dxa"/>
                  <w:shd w:val="clear" w:color="auto" w:fill="auto"/>
                  <w:vAlign w:val="center"/>
                </w:tcPr>
                <w:p>
                  <w:pPr>
                    <w:pStyle w:val="54"/>
                    <w:rPr>
                      <w:color w:val="auto"/>
                      <w:sz w:val="21"/>
                      <w:szCs w:val="21"/>
                    </w:rPr>
                  </w:pPr>
                  <w:r>
                    <w:rPr>
                      <w:rFonts w:hint="eastAsia"/>
                      <w:color w:val="auto"/>
                      <w:sz w:val="21"/>
                      <w:szCs w:val="21"/>
                    </w:rPr>
                    <w:t>70</w:t>
                  </w:r>
                </w:p>
              </w:tc>
              <w:tc>
                <w:tcPr>
                  <w:tcW w:w="998"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00：00-24：00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8432" w:type="dxa"/>
                  <w:gridSpan w:val="11"/>
                  <w:vAlign w:val="center"/>
                </w:tcPr>
                <w:p>
                  <w:pPr>
                    <w:tabs>
                      <w:tab w:val="left" w:pos="4810"/>
                      <w:tab w:val="center" w:pos="6450"/>
                    </w:tabs>
                    <w:jc w:val="left"/>
                    <w:rPr>
                      <w:rFonts w:eastAsia="黑体"/>
                      <w:bCs/>
                      <w:color w:val="auto"/>
                      <w:sz w:val="21"/>
                      <w:szCs w:val="21"/>
                    </w:rPr>
                  </w:pPr>
                  <w:r>
                    <w:rPr>
                      <w:rFonts w:eastAsia="黑体"/>
                      <w:bCs/>
                      <w:color w:val="auto"/>
                      <w:sz w:val="21"/>
                      <w:szCs w:val="21"/>
                    </w:rPr>
                    <w:t>注：以厂区左下角点为坐标原点。</w:t>
                  </w:r>
                </w:p>
              </w:tc>
            </w:tr>
          </w:tbl>
          <w:p>
            <w:pPr>
              <w:pStyle w:val="37"/>
              <w:ind w:firstLine="482"/>
              <w:rPr>
                <w:b/>
                <w:color w:val="auto"/>
              </w:rPr>
            </w:pPr>
          </w:p>
          <w:p>
            <w:pPr>
              <w:pStyle w:val="51"/>
              <w:numPr>
                <w:ilvl w:val="0"/>
                <w:numId w:val="13"/>
              </w:numPr>
              <w:ind w:firstLine="480"/>
              <w:rPr>
                <w:color w:val="auto"/>
              </w:rPr>
            </w:pPr>
            <w:r>
              <w:rPr>
                <w:color w:val="auto"/>
              </w:rPr>
              <w:t>噪声环境影响预测</w:t>
            </w:r>
          </w:p>
          <w:p>
            <w:pPr>
              <w:adjustRightInd w:val="0"/>
              <w:snapToGrid w:val="0"/>
              <w:spacing w:line="360" w:lineRule="auto"/>
              <w:ind w:firstLine="480" w:firstLineChars="200"/>
              <w:rPr>
                <w:bCs/>
                <w:color w:val="auto"/>
              </w:rPr>
            </w:pPr>
            <w:r>
              <w:rPr>
                <w:bCs/>
                <w:color w:val="auto"/>
              </w:rPr>
              <w:t>根据《环境影响评价技术导则 声环境》（HJ2.4—2021）的要求，</w:t>
            </w:r>
            <w:r>
              <w:rPr>
                <w:rFonts w:hint="eastAsia"/>
                <w:bCs/>
                <w:color w:val="auto"/>
              </w:rPr>
              <w:t>分析厂界环境质量达标情况。</w:t>
            </w:r>
            <w:r>
              <w:rPr>
                <w:bCs/>
                <w:color w:val="auto"/>
              </w:rPr>
              <w:t>本项目声环境影响预测模型采用导则中附录A（规范性附录）户外声传播的衰减和附录B规范性附中“B.1工业噪声预测计算模型”。</w:t>
            </w:r>
          </w:p>
          <w:p>
            <w:pPr>
              <w:pStyle w:val="93"/>
              <w:ind w:firstLine="480"/>
              <w:rPr>
                <w:color w:val="auto"/>
              </w:rPr>
            </w:pPr>
            <w:r>
              <w:rPr>
                <w:rFonts w:hint="eastAsia"/>
                <w:color w:val="auto"/>
              </w:rPr>
              <w:t>建设项目声源在预测点产生的等效声级贡献值（</w:t>
            </w:r>
            <w:r>
              <w:rPr>
                <w:color w:val="auto"/>
              </w:rPr>
              <w:t>L</w:t>
            </w:r>
            <w:r>
              <w:rPr>
                <w:color w:val="auto"/>
                <w:vertAlign w:val="subscript"/>
              </w:rPr>
              <w:t>eqg</w:t>
            </w:r>
            <w:r>
              <w:rPr>
                <w:rFonts w:hint="eastAsia"/>
                <w:color w:val="auto"/>
              </w:rPr>
              <w:t>）计算公式：</w:t>
            </w:r>
          </w:p>
          <w:p>
            <w:pPr>
              <w:pStyle w:val="93"/>
              <w:ind w:firstLine="420"/>
              <w:jc w:val="center"/>
              <w:rPr>
                <w:color w:val="auto"/>
                <w:sz w:val="21"/>
                <w:szCs w:val="21"/>
              </w:rPr>
            </w:pPr>
            <w:r>
              <w:rPr>
                <w:color w:val="auto"/>
                <w:sz w:val="21"/>
                <w:szCs w:val="21"/>
              </w:rPr>
              <w:drawing>
                <wp:inline distT="0" distB="0" distL="114300" distR="114300">
                  <wp:extent cx="2332355" cy="600710"/>
                  <wp:effectExtent l="0" t="0" r="10795" b="889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1"/>
                          <a:stretch>
                            <a:fillRect/>
                          </a:stretch>
                        </pic:blipFill>
                        <pic:spPr>
                          <a:xfrm>
                            <a:off x="0" y="0"/>
                            <a:ext cx="2332355" cy="600710"/>
                          </a:xfrm>
                          <a:prstGeom prst="rect">
                            <a:avLst/>
                          </a:prstGeom>
                          <a:noFill/>
                          <a:ln>
                            <a:noFill/>
                          </a:ln>
                        </pic:spPr>
                      </pic:pic>
                    </a:graphicData>
                  </a:graphic>
                </wp:inline>
              </w:drawing>
            </w:r>
          </w:p>
          <w:p>
            <w:pPr>
              <w:pStyle w:val="93"/>
              <w:ind w:firstLine="480"/>
              <w:rPr>
                <w:color w:val="auto"/>
              </w:rPr>
            </w:pPr>
            <w:r>
              <w:rPr>
                <w:rFonts w:hint="eastAsia"/>
                <w:color w:val="auto"/>
              </w:rPr>
              <w:t>式中：</w:t>
            </w:r>
            <w:r>
              <w:rPr>
                <w:color w:val="auto"/>
              </w:rPr>
              <w:t>L</w:t>
            </w:r>
            <w:r>
              <w:rPr>
                <w:color w:val="auto"/>
                <w:vertAlign w:val="subscript"/>
              </w:rPr>
              <w:t>eqg</w:t>
            </w:r>
            <w:r>
              <w:rPr>
                <w:color w:val="auto"/>
              </w:rPr>
              <w:t>——</w:t>
            </w:r>
            <w:r>
              <w:rPr>
                <w:rFonts w:hint="eastAsia"/>
                <w:color w:val="auto"/>
              </w:rPr>
              <w:t>噪声贡献值，</w:t>
            </w:r>
            <w:r>
              <w:rPr>
                <w:color w:val="auto"/>
              </w:rPr>
              <w:t>dB</w:t>
            </w:r>
            <w:r>
              <w:rPr>
                <w:rFonts w:hint="eastAsia"/>
                <w:color w:val="auto"/>
              </w:rPr>
              <w:t>；</w:t>
            </w:r>
          </w:p>
          <w:p>
            <w:pPr>
              <w:pStyle w:val="93"/>
              <w:ind w:firstLine="1200" w:firstLineChars="500"/>
              <w:rPr>
                <w:color w:val="auto"/>
              </w:rPr>
            </w:pPr>
            <w:r>
              <w:rPr>
                <w:color w:val="auto"/>
              </w:rPr>
              <w:t>L</w:t>
            </w:r>
            <w:r>
              <w:rPr>
                <w:color w:val="auto"/>
                <w:vertAlign w:val="subscript"/>
              </w:rPr>
              <w:t>Ai</w:t>
            </w:r>
            <w:r>
              <w:rPr>
                <w:color w:val="auto"/>
              </w:rPr>
              <w:t>——i</w:t>
            </w:r>
            <w:r>
              <w:rPr>
                <w:rFonts w:hint="eastAsia"/>
                <w:color w:val="auto"/>
              </w:rPr>
              <w:t>声源在预测点产生的等效连续</w:t>
            </w:r>
            <w:r>
              <w:rPr>
                <w:color w:val="auto"/>
              </w:rPr>
              <w:t>A</w:t>
            </w:r>
            <w:r>
              <w:rPr>
                <w:rFonts w:hint="eastAsia"/>
                <w:color w:val="auto"/>
              </w:rPr>
              <w:t>声级，</w:t>
            </w:r>
            <w:r>
              <w:rPr>
                <w:color w:val="auto"/>
              </w:rPr>
              <w:t>dB</w:t>
            </w:r>
            <w:r>
              <w:rPr>
                <w:rFonts w:hint="eastAsia"/>
                <w:color w:val="auto"/>
              </w:rPr>
              <w:t>；</w:t>
            </w:r>
          </w:p>
          <w:p>
            <w:pPr>
              <w:pStyle w:val="93"/>
              <w:ind w:firstLine="1200" w:firstLineChars="500"/>
              <w:rPr>
                <w:color w:val="auto"/>
              </w:rPr>
            </w:pPr>
            <w:r>
              <w:rPr>
                <w:color w:val="auto"/>
              </w:rPr>
              <w:t>T——</w:t>
            </w:r>
            <w:r>
              <w:rPr>
                <w:rFonts w:hint="eastAsia"/>
                <w:color w:val="auto"/>
              </w:rPr>
              <w:t>预测计算的时间段，</w:t>
            </w:r>
            <w:r>
              <w:rPr>
                <w:color w:val="auto"/>
              </w:rPr>
              <w:t>s</w:t>
            </w:r>
            <w:r>
              <w:rPr>
                <w:rFonts w:hint="eastAsia"/>
                <w:color w:val="auto"/>
              </w:rPr>
              <w:t>；</w:t>
            </w:r>
          </w:p>
          <w:p>
            <w:pPr>
              <w:pStyle w:val="93"/>
              <w:ind w:firstLine="1200" w:firstLineChars="500"/>
              <w:rPr>
                <w:color w:val="auto"/>
              </w:rPr>
            </w:pPr>
            <w:r>
              <w:rPr>
                <w:color w:val="auto"/>
              </w:rPr>
              <w:t>t</w:t>
            </w:r>
            <w:r>
              <w:rPr>
                <w:color w:val="auto"/>
                <w:vertAlign w:val="subscript"/>
              </w:rPr>
              <w:t>i</w:t>
            </w:r>
            <w:r>
              <w:rPr>
                <w:color w:val="auto"/>
              </w:rPr>
              <w:t>——i</w:t>
            </w:r>
            <w:r>
              <w:rPr>
                <w:rFonts w:hint="eastAsia"/>
                <w:color w:val="auto"/>
              </w:rPr>
              <w:t>声源在</w:t>
            </w:r>
            <w:r>
              <w:rPr>
                <w:color w:val="auto"/>
              </w:rPr>
              <w:t>T</w:t>
            </w:r>
            <w:r>
              <w:rPr>
                <w:rFonts w:hint="eastAsia"/>
                <w:color w:val="auto"/>
              </w:rPr>
              <w:t>时段内的运行时间，</w:t>
            </w:r>
            <w:r>
              <w:rPr>
                <w:color w:val="auto"/>
              </w:rPr>
              <w:t>s</w:t>
            </w:r>
            <w:r>
              <w:rPr>
                <w:rFonts w:hint="eastAsia"/>
                <w:color w:val="auto"/>
              </w:rPr>
              <w:t>。</w:t>
            </w:r>
          </w:p>
          <w:p>
            <w:pPr>
              <w:pStyle w:val="93"/>
              <w:ind w:firstLine="480"/>
              <w:rPr>
                <w:color w:val="auto"/>
              </w:rPr>
            </w:pPr>
            <w:r>
              <w:rPr>
                <w:rFonts w:hint="eastAsia"/>
                <w:color w:val="auto"/>
              </w:rPr>
              <w:t>预测点的预测等效声级（</w:t>
            </w:r>
            <w:r>
              <w:rPr>
                <w:color w:val="auto"/>
              </w:rPr>
              <w:t>Leq</w:t>
            </w:r>
            <w:r>
              <w:rPr>
                <w:rFonts w:hint="eastAsia"/>
                <w:color w:val="auto"/>
              </w:rPr>
              <w:t>）计算公式：</w:t>
            </w:r>
          </w:p>
          <w:p>
            <w:pPr>
              <w:pStyle w:val="93"/>
              <w:ind w:firstLine="420"/>
              <w:jc w:val="center"/>
              <w:rPr>
                <w:color w:val="auto"/>
                <w:sz w:val="21"/>
                <w:szCs w:val="21"/>
              </w:rPr>
            </w:pPr>
            <w:r>
              <w:rPr>
                <w:rFonts w:hint="eastAsia"/>
                <w:color w:val="auto"/>
                <w:sz w:val="21"/>
                <w:szCs w:val="21"/>
              </w:rPr>
              <w:t xml:space="preserve"> </w:t>
            </w:r>
            <w:r>
              <w:rPr>
                <w:color w:val="auto"/>
                <w:sz w:val="21"/>
                <w:szCs w:val="21"/>
              </w:rPr>
              <w:drawing>
                <wp:inline distT="0" distB="0" distL="114300" distR="114300">
                  <wp:extent cx="2723515" cy="434975"/>
                  <wp:effectExtent l="0" t="0" r="635" b="317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2"/>
                          <a:stretch>
                            <a:fillRect/>
                          </a:stretch>
                        </pic:blipFill>
                        <pic:spPr>
                          <a:xfrm>
                            <a:off x="0" y="0"/>
                            <a:ext cx="2723515" cy="434975"/>
                          </a:xfrm>
                          <a:prstGeom prst="rect">
                            <a:avLst/>
                          </a:prstGeom>
                          <a:noFill/>
                          <a:ln>
                            <a:noFill/>
                          </a:ln>
                        </pic:spPr>
                      </pic:pic>
                    </a:graphicData>
                  </a:graphic>
                </wp:inline>
              </w:drawing>
            </w:r>
            <w:r>
              <w:rPr>
                <w:rFonts w:hint="eastAsia"/>
                <w:color w:val="auto"/>
                <w:sz w:val="21"/>
                <w:szCs w:val="21"/>
              </w:rPr>
              <w:t xml:space="preserve"> </w:t>
            </w:r>
          </w:p>
          <w:p>
            <w:pPr>
              <w:pStyle w:val="93"/>
              <w:ind w:firstLine="480"/>
              <w:rPr>
                <w:color w:val="auto"/>
              </w:rPr>
            </w:pPr>
            <w:r>
              <w:rPr>
                <w:rFonts w:hint="eastAsia"/>
                <w:color w:val="auto"/>
              </w:rPr>
              <w:t>式中：</w:t>
            </w:r>
            <w:r>
              <w:rPr>
                <w:color w:val="auto"/>
              </w:rPr>
              <w:t>L</w:t>
            </w:r>
            <w:r>
              <w:rPr>
                <w:color w:val="auto"/>
                <w:vertAlign w:val="subscript"/>
              </w:rPr>
              <w:t>eq</w:t>
            </w:r>
            <w:r>
              <w:rPr>
                <w:color w:val="auto"/>
              </w:rPr>
              <w:t>——</w:t>
            </w:r>
            <w:r>
              <w:rPr>
                <w:rFonts w:hint="eastAsia"/>
                <w:color w:val="auto"/>
              </w:rPr>
              <w:t>预测点的噪声预测值，</w:t>
            </w:r>
            <w:r>
              <w:rPr>
                <w:color w:val="auto"/>
              </w:rPr>
              <w:t>dB</w:t>
            </w:r>
            <w:r>
              <w:rPr>
                <w:rFonts w:hint="eastAsia"/>
                <w:color w:val="auto"/>
              </w:rPr>
              <w:t>；</w:t>
            </w:r>
          </w:p>
          <w:p>
            <w:pPr>
              <w:pStyle w:val="93"/>
              <w:ind w:firstLine="1200" w:firstLineChars="500"/>
              <w:rPr>
                <w:color w:val="auto"/>
              </w:rPr>
            </w:pPr>
            <w:r>
              <w:rPr>
                <w:color w:val="auto"/>
              </w:rPr>
              <w:t>L</w:t>
            </w:r>
            <w:r>
              <w:rPr>
                <w:color w:val="auto"/>
                <w:vertAlign w:val="subscript"/>
              </w:rPr>
              <w:t>eqg</w:t>
            </w:r>
            <w:r>
              <w:rPr>
                <w:color w:val="auto"/>
              </w:rPr>
              <w:t>——</w:t>
            </w:r>
            <w:r>
              <w:rPr>
                <w:rFonts w:hint="eastAsia"/>
                <w:color w:val="auto"/>
              </w:rPr>
              <w:t>建设项目声源在预测点产生的噪声贡献值，</w:t>
            </w:r>
            <w:r>
              <w:rPr>
                <w:color w:val="auto"/>
              </w:rPr>
              <w:t>dB</w:t>
            </w:r>
            <w:r>
              <w:rPr>
                <w:rFonts w:hint="eastAsia"/>
                <w:color w:val="auto"/>
              </w:rPr>
              <w:t>；</w:t>
            </w:r>
          </w:p>
          <w:p>
            <w:pPr>
              <w:pStyle w:val="93"/>
              <w:ind w:firstLine="1200" w:firstLineChars="500"/>
              <w:rPr>
                <w:color w:val="auto"/>
              </w:rPr>
            </w:pPr>
            <w:r>
              <w:rPr>
                <w:color w:val="auto"/>
              </w:rPr>
              <w:t>L</w:t>
            </w:r>
            <w:r>
              <w:rPr>
                <w:color w:val="auto"/>
                <w:vertAlign w:val="subscript"/>
              </w:rPr>
              <w:t>eqb</w:t>
            </w:r>
            <w:r>
              <w:rPr>
                <w:color w:val="auto"/>
              </w:rPr>
              <w:t>——</w:t>
            </w:r>
            <w:r>
              <w:rPr>
                <w:rFonts w:hint="eastAsia"/>
                <w:color w:val="auto"/>
              </w:rPr>
              <w:t>预测点的背景噪声值，</w:t>
            </w:r>
            <w:r>
              <w:rPr>
                <w:color w:val="auto"/>
              </w:rPr>
              <w:t>dB</w:t>
            </w:r>
            <w:r>
              <w:rPr>
                <w:rFonts w:hint="eastAsia"/>
                <w:color w:val="auto"/>
              </w:rPr>
              <w:t>。</w:t>
            </w:r>
          </w:p>
          <w:p>
            <w:pPr>
              <w:pStyle w:val="93"/>
              <w:ind w:firstLine="480"/>
              <w:rPr>
                <w:color w:val="auto"/>
              </w:rPr>
            </w:pPr>
            <w:r>
              <w:rPr>
                <w:rFonts w:hint="eastAsia"/>
                <w:color w:val="auto"/>
              </w:rPr>
              <w:t>点声源衰减模式：</w:t>
            </w:r>
          </w:p>
          <w:p>
            <w:pPr>
              <w:pStyle w:val="93"/>
              <w:ind w:firstLine="420"/>
              <w:jc w:val="center"/>
              <w:rPr>
                <w:color w:val="auto"/>
                <w:sz w:val="21"/>
                <w:szCs w:val="21"/>
              </w:rPr>
            </w:pPr>
            <w:r>
              <w:rPr>
                <w:color w:val="auto"/>
                <w:sz w:val="21"/>
                <w:szCs w:val="21"/>
              </w:rPr>
              <w:drawing>
                <wp:inline distT="0" distB="0" distL="114300" distR="114300">
                  <wp:extent cx="2226945" cy="306070"/>
                  <wp:effectExtent l="0" t="0" r="1905" b="1778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3"/>
                          <a:stretch>
                            <a:fillRect/>
                          </a:stretch>
                        </pic:blipFill>
                        <pic:spPr>
                          <a:xfrm>
                            <a:off x="0" y="0"/>
                            <a:ext cx="2226945" cy="306070"/>
                          </a:xfrm>
                          <a:prstGeom prst="rect">
                            <a:avLst/>
                          </a:prstGeom>
                          <a:noFill/>
                          <a:ln>
                            <a:noFill/>
                          </a:ln>
                        </pic:spPr>
                      </pic:pic>
                    </a:graphicData>
                  </a:graphic>
                </wp:inline>
              </w:drawing>
            </w:r>
          </w:p>
          <w:p>
            <w:pPr>
              <w:pStyle w:val="93"/>
              <w:ind w:firstLine="480"/>
              <w:rPr>
                <w:color w:val="auto"/>
              </w:rPr>
            </w:pPr>
            <w:r>
              <w:rPr>
                <w:rFonts w:hint="eastAsia"/>
                <w:color w:val="auto"/>
              </w:rPr>
              <w:t>式中：</w:t>
            </w:r>
            <w:r>
              <w:rPr>
                <w:color w:val="auto"/>
              </w:rPr>
              <w:t>L</w:t>
            </w:r>
            <w:r>
              <w:rPr>
                <w:color w:val="auto"/>
                <w:vertAlign w:val="subscript"/>
              </w:rPr>
              <w:t>p</w:t>
            </w:r>
            <w:r>
              <w:rPr>
                <w:rFonts w:hint="eastAsia"/>
                <w:color w:val="auto"/>
              </w:rPr>
              <w:t>（</w:t>
            </w:r>
            <w:r>
              <w:rPr>
                <w:color w:val="auto"/>
              </w:rPr>
              <w:t>r</w:t>
            </w:r>
            <w:r>
              <w:rPr>
                <w:rFonts w:hint="eastAsia"/>
                <w:color w:val="auto"/>
              </w:rPr>
              <w:t>）</w:t>
            </w:r>
            <w:r>
              <w:rPr>
                <w:color w:val="auto"/>
              </w:rPr>
              <w:t>——</w:t>
            </w:r>
            <w:r>
              <w:rPr>
                <w:rFonts w:hint="eastAsia"/>
                <w:color w:val="auto"/>
              </w:rPr>
              <w:t>预测点处声压级，</w:t>
            </w:r>
            <w:r>
              <w:rPr>
                <w:color w:val="auto"/>
              </w:rPr>
              <w:t>dB</w:t>
            </w:r>
            <w:r>
              <w:rPr>
                <w:rFonts w:hint="eastAsia"/>
                <w:color w:val="auto"/>
              </w:rPr>
              <w:t>；</w:t>
            </w:r>
          </w:p>
          <w:p>
            <w:pPr>
              <w:pStyle w:val="93"/>
              <w:ind w:firstLine="1200" w:firstLineChars="500"/>
              <w:rPr>
                <w:color w:val="auto"/>
              </w:rPr>
            </w:pPr>
            <w:r>
              <w:rPr>
                <w:color w:val="auto"/>
              </w:rPr>
              <w:t>L</w:t>
            </w:r>
            <w:r>
              <w:rPr>
                <w:color w:val="auto"/>
                <w:vertAlign w:val="subscript"/>
              </w:rPr>
              <w:t>p</w:t>
            </w:r>
            <w:r>
              <w:rPr>
                <w:color w:val="auto"/>
              </w:rPr>
              <w:t>(r</w:t>
            </w:r>
            <w:r>
              <w:rPr>
                <w:color w:val="auto"/>
                <w:vertAlign w:val="subscript"/>
              </w:rPr>
              <w:t>0</w:t>
            </w:r>
            <w:r>
              <w:rPr>
                <w:color w:val="auto"/>
              </w:rPr>
              <w:t>)——</w:t>
            </w:r>
            <w:r>
              <w:rPr>
                <w:rFonts w:hint="eastAsia"/>
                <w:color w:val="auto"/>
              </w:rPr>
              <w:t>参考位置</w:t>
            </w:r>
            <w:r>
              <w:rPr>
                <w:color w:val="auto"/>
              </w:rPr>
              <w:t>r</w:t>
            </w:r>
            <w:r>
              <w:rPr>
                <w:color w:val="auto"/>
                <w:vertAlign w:val="subscript"/>
              </w:rPr>
              <w:t>0</w:t>
            </w:r>
            <w:r>
              <w:rPr>
                <w:rFonts w:hint="eastAsia"/>
                <w:color w:val="auto"/>
              </w:rPr>
              <w:t>处的声压级，</w:t>
            </w:r>
            <w:r>
              <w:rPr>
                <w:color w:val="auto"/>
              </w:rPr>
              <w:t>dB</w:t>
            </w:r>
            <w:r>
              <w:rPr>
                <w:rFonts w:hint="eastAsia"/>
                <w:color w:val="auto"/>
              </w:rPr>
              <w:t>；</w:t>
            </w:r>
          </w:p>
          <w:p>
            <w:pPr>
              <w:pStyle w:val="93"/>
              <w:ind w:firstLine="1200" w:firstLineChars="500"/>
              <w:rPr>
                <w:color w:val="auto"/>
              </w:rPr>
            </w:pPr>
            <w:r>
              <w:rPr>
                <w:color w:val="auto"/>
              </w:rPr>
              <w:t>r——</w:t>
            </w:r>
            <w:r>
              <w:rPr>
                <w:rFonts w:hint="eastAsia"/>
                <w:color w:val="auto"/>
              </w:rPr>
              <w:t>预测点距声源的距离；</w:t>
            </w:r>
          </w:p>
          <w:p>
            <w:pPr>
              <w:pStyle w:val="93"/>
              <w:ind w:firstLine="1200" w:firstLineChars="500"/>
              <w:rPr>
                <w:color w:val="auto"/>
              </w:rPr>
            </w:pPr>
            <w:r>
              <w:rPr>
                <w:color w:val="auto"/>
              </w:rPr>
              <w:t>r</w:t>
            </w:r>
            <w:r>
              <w:rPr>
                <w:color w:val="auto"/>
                <w:vertAlign w:val="subscript"/>
              </w:rPr>
              <w:t>0</w:t>
            </w:r>
            <w:r>
              <w:rPr>
                <w:color w:val="auto"/>
              </w:rPr>
              <w:t>——</w:t>
            </w:r>
            <w:r>
              <w:rPr>
                <w:rFonts w:hint="eastAsia"/>
                <w:color w:val="auto"/>
              </w:rPr>
              <w:t>参考位置距声源的距离。</w:t>
            </w:r>
          </w:p>
          <w:p>
            <w:pPr>
              <w:spacing w:line="360" w:lineRule="auto"/>
              <w:ind w:firstLine="480" w:firstLineChars="200"/>
              <w:rPr>
                <w:color w:val="auto"/>
              </w:rPr>
            </w:pPr>
            <w:r>
              <w:rPr>
                <w:color w:val="auto"/>
              </w:rPr>
              <w:t>取本项目</w:t>
            </w:r>
            <w:r>
              <w:rPr>
                <w:rFonts w:hint="eastAsia"/>
                <w:color w:val="auto"/>
                <w:lang w:eastAsia="zh-CN"/>
              </w:rPr>
              <w:t>噪声源</w:t>
            </w:r>
            <w:r>
              <w:rPr>
                <w:color w:val="auto"/>
              </w:rPr>
              <w:t>衰减1m处的噪声值为本项目生产设备噪声源排放值，经上述公式计算，噪声衰减结果见表4-1</w:t>
            </w:r>
            <w:r>
              <w:rPr>
                <w:rFonts w:hint="eastAsia"/>
                <w:color w:val="auto"/>
              </w:rPr>
              <w:t>0</w:t>
            </w:r>
            <w:r>
              <w:rPr>
                <w:color w:val="auto"/>
              </w:rPr>
              <w:t>。</w:t>
            </w:r>
          </w:p>
          <w:p>
            <w:pPr>
              <w:jc w:val="center"/>
              <w:rPr>
                <w:b/>
                <w:color w:val="auto"/>
              </w:rPr>
            </w:pPr>
            <w:r>
              <w:rPr>
                <w:b/>
                <w:color w:val="auto"/>
              </w:rPr>
              <w:t>表4-1</w:t>
            </w:r>
            <w:r>
              <w:rPr>
                <w:rFonts w:hint="eastAsia"/>
                <w:b/>
                <w:color w:val="auto"/>
                <w:lang w:val="en-US" w:eastAsia="zh-CN"/>
              </w:rPr>
              <w:t>0</w:t>
            </w:r>
            <w:r>
              <w:rPr>
                <w:b/>
                <w:color w:val="auto"/>
              </w:rPr>
              <w:t xml:space="preserve">  </w:t>
            </w:r>
            <w:r>
              <w:rPr>
                <w:rFonts w:hint="eastAsia"/>
                <w:b/>
                <w:color w:val="auto"/>
              </w:rPr>
              <w:t>噪声预测结果       单位：</w:t>
            </w:r>
            <w:r>
              <w:rPr>
                <w:b/>
                <w:color w:val="auto"/>
              </w:rPr>
              <w:t>dB</w:t>
            </w:r>
            <w:r>
              <w:rPr>
                <w:rFonts w:hint="eastAsia"/>
                <w:b/>
                <w:color w:val="auto"/>
              </w:rPr>
              <w:t>（</w:t>
            </w:r>
            <w:r>
              <w:rPr>
                <w:b/>
                <w:color w:val="auto"/>
              </w:rPr>
              <w:t>A</w:t>
            </w:r>
            <w:r>
              <w:rPr>
                <w:rFonts w:hint="eastAsia"/>
                <w:b/>
                <w:color w:val="auto"/>
              </w:rPr>
              <w:t>）</w:t>
            </w:r>
          </w:p>
          <w:tbl>
            <w:tblPr>
              <w:tblStyle w:val="31"/>
              <w:tblW w:w="84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858"/>
              <w:gridCol w:w="1961"/>
              <w:gridCol w:w="1583"/>
              <w:gridCol w:w="1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rPr>
                    <w:t>预测点位</w:t>
                  </w:r>
                </w:p>
              </w:tc>
              <w:tc>
                <w:tcPr>
                  <w:tcW w:w="1858" w:type="dxa"/>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rPr>
                    <w:t>预测时段</w:t>
                  </w:r>
                </w:p>
              </w:tc>
              <w:tc>
                <w:tcPr>
                  <w:tcW w:w="1961" w:type="dxa"/>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rPr>
                    <w:t>预测点距离</w:t>
                  </w:r>
                </w:p>
              </w:tc>
              <w:tc>
                <w:tcPr>
                  <w:tcW w:w="1583" w:type="dxa"/>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rPr>
                    <w:t>贡献值</w:t>
                  </w:r>
                </w:p>
              </w:tc>
              <w:tc>
                <w:tcPr>
                  <w:tcW w:w="1495" w:type="dxa"/>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restart"/>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rPr>
                    <w:t>北侧</w:t>
                  </w: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昼间</w:t>
                  </w:r>
                </w:p>
              </w:tc>
              <w:tc>
                <w:tcPr>
                  <w:tcW w:w="1961" w:type="dxa"/>
                  <w:vMerge w:val="restart"/>
                  <w:tcBorders>
                    <w:tl2br w:val="nil"/>
                    <w:tr2bl w:val="nil"/>
                  </w:tcBorders>
                  <w:vAlign w:val="center"/>
                </w:tcPr>
                <w:p>
                  <w:pPr>
                    <w:adjustRightInd w:val="0"/>
                    <w:snapToGrid w:val="0"/>
                    <w:jc w:val="center"/>
                    <w:rPr>
                      <w:color w:val="auto"/>
                      <w:sz w:val="21"/>
                      <w:szCs w:val="21"/>
                    </w:rPr>
                  </w:pPr>
                  <w:r>
                    <w:rPr>
                      <w:rFonts w:hint="eastAsia"/>
                      <w:color w:val="auto"/>
                      <w:sz w:val="21"/>
                      <w:szCs w:val="21"/>
                    </w:rPr>
                    <w:t>厂界外</w:t>
                  </w:r>
                  <w:r>
                    <w:rPr>
                      <w:color w:val="auto"/>
                      <w:sz w:val="21"/>
                      <w:szCs w:val="21"/>
                    </w:rPr>
                    <w:t>1m</w:t>
                  </w:r>
                  <w:r>
                    <w:rPr>
                      <w:rFonts w:hint="eastAsia"/>
                      <w:color w:val="auto"/>
                      <w:sz w:val="21"/>
                      <w:szCs w:val="21"/>
                    </w:rPr>
                    <w:t>处</w:t>
                  </w:r>
                </w:p>
              </w:tc>
              <w:tc>
                <w:tcPr>
                  <w:tcW w:w="1583" w:type="dxa"/>
                  <w:tcBorders>
                    <w:tl2br w:val="nil"/>
                    <w:tr2bl w:val="nil"/>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24.48</w:t>
                  </w:r>
                </w:p>
              </w:tc>
              <w:tc>
                <w:tcPr>
                  <w:tcW w:w="1495" w:type="dxa"/>
                  <w:tcBorders>
                    <w:tl2br w:val="nil"/>
                    <w:tr2bl w:val="nil"/>
                  </w:tcBorders>
                  <w:vAlign w:val="center"/>
                </w:tcPr>
                <w:p>
                  <w:pPr>
                    <w:adjustRightInd w:val="0"/>
                    <w:snapToGrid w:val="0"/>
                    <w:jc w:val="center"/>
                    <w:rPr>
                      <w:color w:val="auto"/>
                      <w:sz w:val="21"/>
                      <w:szCs w:val="21"/>
                    </w:rPr>
                  </w:pPr>
                  <w:r>
                    <w:rPr>
                      <w:rFonts w:hint="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continue"/>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夜间</w:t>
                  </w:r>
                </w:p>
              </w:tc>
              <w:tc>
                <w:tcPr>
                  <w:tcW w:w="1961" w:type="dxa"/>
                  <w:vMerge w:val="continue"/>
                  <w:tcBorders>
                    <w:tl2br w:val="nil"/>
                    <w:tr2bl w:val="nil"/>
                  </w:tcBorders>
                  <w:vAlign w:val="center"/>
                </w:tcPr>
                <w:p>
                  <w:pPr>
                    <w:pStyle w:val="56"/>
                    <w:spacing w:beforeLines="0" w:afterLines="0" w:line="240" w:lineRule="auto"/>
                    <w:ind w:left="0" w:leftChars="0" w:right="0" w:rightChars="0" w:firstLine="0" w:firstLineChars="0"/>
                    <w:rPr>
                      <w:rFonts w:ascii="Times New Roman" w:hAnsi="Times New Roman"/>
                      <w:color w:val="auto"/>
                      <w:sz w:val="21"/>
                      <w:szCs w:val="21"/>
                    </w:rPr>
                  </w:pPr>
                </w:p>
              </w:tc>
              <w:tc>
                <w:tcPr>
                  <w:tcW w:w="1583" w:type="dxa"/>
                  <w:tcBorders>
                    <w:tl2br w:val="nil"/>
                    <w:tr2bl w:val="nil"/>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20.15</w:t>
                  </w:r>
                </w:p>
              </w:tc>
              <w:tc>
                <w:tcPr>
                  <w:tcW w:w="1495" w:type="dxa"/>
                  <w:tcBorders>
                    <w:tl2br w:val="nil"/>
                    <w:tr2bl w:val="nil"/>
                  </w:tcBorders>
                  <w:vAlign w:val="center"/>
                </w:tcPr>
                <w:p>
                  <w:pPr>
                    <w:jc w:val="center"/>
                    <w:rPr>
                      <w:color w:val="auto"/>
                      <w:sz w:val="21"/>
                      <w:szCs w:val="21"/>
                    </w:rPr>
                  </w:pPr>
                  <w:r>
                    <w:rPr>
                      <w:rFonts w:hint="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restart"/>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lang w:val="en-US" w:eastAsia="zh-CN"/>
                    </w:rPr>
                    <w:t>南</w:t>
                  </w:r>
                  <w:r>
                    <w:rPr>
                      <w:rFonts w:hint="eastAsia"/>
                      <w:color w:val="auto"/>
                      <w:sz w:val="21"/>
                      <w:szCs w:val="21"/>
                    </w:rPr>
                    <w:t>侧</w:t>
                  </w: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昼间</w:t>
                  </w:r>
                </w:p>
              </w:tc>
              <w:tc>
                <w:tcPr>
                  <w:tcW w:w="1961" w:type="dxa"/>
                  <w:vMerge w:val="restart"/>
                  <w:tcBorders>
                    <w:tl2br w:val="nil"/>
                    <w:tr2bl w:val="nil"/>
                  </w:tcBorders>
                  <w:vAlign w:val="center"/>
                </w:tcPr>
                <w:p>
                  <w:pPr>
                    <w:pStyle w:val="56"/>
                    <w:spacing w:beforeLines="0" w:afterLines="0" w:line="240" w:lineRule="auto"/>
                    <w:ind w:left="0" w:leftChars="0" w:right="0" w:rightChars="0" w:firstLine="0" w:firstLineChars="0"/>
                    <w:rPr>
                      <w:rFonts w:ascii="Times New Roman" w:hAnsi="Times New Roman"/>
                      <w:color w:val="auto"/>
                      <w:sz w:val="21"/>
                      <w:szCs w:val="21"/>
                    </w:rPr>
                  </w:pPr>
                  <w:r>
                    <w:rPr>
                      <w:rFonts w:hint="eastAsia" w:ascii="Times New Roman" w:hAnsi="Times New Roman"/>
                      <w:color w:val="auto"/>
                      <w:sz w:val="21"/>
                      <w:szCs w:val="21"/>
                    </w:rPr>
                    <w:t>厂界外</w:t>
                  </w:r>
                  <w:r>
                    <w:rPr>
                      <w:rFonts w:ascii="Times New Roman" w:hAnsi="Times New Roman"/>
                      <w:color w:val="auto"/>
                      <w:sz w:val="21"/>
                      <w:szCs w:val="21"/>
                    </w:rPr>
                    <w:t>1m</w:t>
                  </w:r>
                  <w:r>
                    <w:rPr>
                      <w:rFonts w:hint="eastAsia" w:ascii="Times New Roman" w:hAnsi="Times New Roman"/>
                      <w:color w:val="auto"/>
                      <w:sz w:val="21"/>
                      <w:szCs w:val="21"/>
                    </w:rPr>
                    <w:t>处</w:t>
                  </w:r>
                </w:p>
              </w:tc>
              <w:tc>
                <w:tcPr>
                  <w:tcW w:w="1583" w:type="dxa"/>
                  <w:tcBorders>
                    <w:tl2br w:val="nil"/>
                    <w:tr2bl w:val="nil"/>
                  </w:tcBorders>
                  <w:vAlign w:val="center"/>
                </w:tcPr>
                <w:p>
                  <w:pPr>
                    <w:pStyle w:val="56"/>
                    <w:spacing w:beforeLines="0" w:afterLines="0" w:line="240" w:lineRule="auto"/>
                    <w:ind w:left="0" w:leftChars="0" w:right="0" w:rightChars="0" w:firstLine="0" w:firstLineChars="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22.28</w:t>
                  </w:r>
                </w:p>
              </w:tc>
              <w:tc>
                <w:tcPr>
                  <w:tcW w:w="1495" w:type="dxa"/>
                  <w:tcBorders>
                    <w:tl2br w:val="nil"/>
                    <w:tr2bl w:val="nil"/>
                  </w:tcBorders>
                  <w:vAlign w:val="center"/>
                </w:tcPr>
                <w:p>
                  <w:pPr>
                    <w:jc w:val="center"/>
                    <w:rPr>
                      <w:color w:val="auto"/>
                      <w:sz w:val="21"/>
                      <w:szCs w:val="21"/>
                    </w:rPr>
                  </w:pPr>
                  <w:r>
                    <w:rPr>
                      <w:rFonts w:hint="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continue"/>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夜间</w:t>
                  </w:r>
                </w:p>
              </w:tc>
              <w:tc>
                <w:tcPr>
                  <w:tcW w:w="1961" w:type="dxa"/>
                  <w:vMerge w:val="continue"/>
                  <w:tcBorders>
                    <w:tl2br w:val="nil"/>
                    <w:tr2bl w:val="nil"/>
                  </w:tcBorders>
                  <w:vAlign w:val="center"/>
                </w:tcPr>
                <w:p>
                  <w:pPr>
                    <w:pStyle w:val="56"/>
                    <w:spacing w:beforeLines="0" w:afterLines="0" w:line="240" w:lineRule="auto"/>
                    <w:ind w:left="0" w:leftChars="0" w:right="0" w:rightChars="0" w:firstLine="0" w:firstLineChars="0"/>
                    <w:rPr>
                      <w:rFonts w:ascii="Times New Roman" w:hAnsi="Times New Roman"/>
                      <w:color w:val="auto"/>
                      <w:sz w:val="21"/>
                      <w:szCs w:val="21"/>
                    </w:rPr>
                  </w:pPr>
                </w:p>
              </w:tc>
              <w:tc>
                <w:tcPr>
                  <w:tcW w:w="1583" w:type="dxa"/>
                  <w:tcBorders>
                    <w:tl2br w:val="nil"/>
                    <w:tr2bl w:val="nil"/>
                  </w:tcBorders>
                  <w:vAlign w:val="center"/>
                </w:tcPr>
                <w:p>
                  <w:pPr>
                    <w:pStyle w:val="56"/>
                    <w:spacing w:beforeLines="0" w:afterLines="0" w:line="240" w:lineRule="auto"/>
                    <w:ind w:left="0" w:leftChars="0" w:right="0" w:rightChars="0" w:firstLine="0" w:firstLineChars="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17.52</w:t>
                  </w:r>
                </w:p>
              </w:tc>
              <w:tc>
                <w:tcPr>
                  <w:tcW w:w="1495" w:type="dxa"/>
                  <w:tcBorders>
                    <w:tl2br w:val="nil"/>
                    <w:tr2bl w:val="nil"/>
                  </w:tcBorders>
                  <w:vAlign w:val="center"/>
                </w:tcPr>
                <w:p>
                  <w:pPr>
                    <w:jc w:val="center"/>
                    <w:rPr>
                      <w:color w:val="auto"/>
                      <w:sz w:val="21"/>
                      <w:szCs w:val="21"/>
                    </w:rPr>
                  </w:pPr>
                  <w:r>
                    <w:rPr>
                      <w:rFonts w:hint="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restart"/>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lang w:val="en-US" w:eastAsia="zh-CN"/>
                    </w:rPr>
                    <w:t>东</w:t>
                  </w:r>
                  <w:r>
                    <w:rPr>
                      <w:rFonts w:hint="eastAsia"/>
                      <w:color w:val="auto"/>
                      <w:sz w:val="21"/>
                      <w:szCs w:val="21"/>
                    </w:rPr>
                    <w:t>侧</w:t>
                  </w: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昼间</w:t>
                  </w:r>
                </w:p>
              </w:tc>
              <w:tc>
                <w:tcPr>
                  <w:tcW w:w="1961" w:type="dxa"/>
                  <w:vMerge w:val="restart"/>
                  <w:tcBorders>
                    <w:tl2br w:val="nil"/>
                    <w:tr2bl w:val="nil"/>
                  </w:tcBorders>
                  <w:vAlign w:val="center"/>
                </w:tcPr>
                <w:p>
                  <w:pPr>
                    <w:pStyle w:val="56"/>
                    <w:spacing w:beforeLines="0" w:afterLines="0" w:line="240" w:lineRule="auto"/>
                    <w:ind w:left="0" w:leftChars="0" w:right="0" w:rightChars="0" w:firstLine="0" w:firstLineChars="0"/>
                    <w:rPr>
                      <w:rFonts w:ascii="Times New Roman" w:hAnsi="Times New Roman"/>
                      <w:color w:val="auto"/>
                      <w:sz w:val="21"/>
                      <w:szCs w:val="21"/>
                    </w:rPr>
                  </w:pPr>
                  <w:r>
                    <w:rPr>
                      <w:rFonts w:hint="eastAsia" w:ascii="Times New Roman" w:hAnsi="Times New Roman"/>
                      <w:color w:val="auto"/>
                      <w:sz w:val="21"/>
                      <w:szCs w:val="21"/>
                    </w:rPr>
                    <w:t>厂界外</w:t>
                  </w:r>
                  <w:r>
                    <w:rPr>
                      <w:rFonts w:ascii="Times New Roman" w:hAnsi="Times New Roman"/>
                      <w:color w:val="auto"/>
                      <w:sz w:val="21"/>
                      <w:szCs w:val="21"/>
                    </w:rPr>
                    <w:t>1m</w:t>
                  </w:r>
                  <w:r>
                    <w:rPr>
                      <w:rFonts w:hint="eastAsia" w:ascii="Times New Roman" w:hAnsi="Times New Roman"/>
                      <w:color w:val="auto"/>
                      <w:sz w:val="21"/>
                      <w:szCs w:val="21"/>
                    </w:rPr>
                    <w:t>处</w:t>
                  </w:r>
                </w:p>
              </w:tc>
              <w:tc>
                <w:tcPr>
                  <w:tcW w:w="1583" w:type="dxa"/>
                  <w:tcBorders>
                    <w:tl2br w:val="nil"/>
                    <w:tr2bl w:val="nil"/>
                  </w:tcBorders>
                  <w:vAlign w:val="center"/>
                </w:tcPr>
                <w:p>
                  <w:pPr>
                    <w:pStyle w:val="56"/>
                    <w:spacing w:beforeLines="0" w:afterLines="0" w:line="240" w:lineRule="auto"/>
                    <w:ind w:left="0" w:leftChars="0" w:right="0" w:rightChars="0" w:firstLine="0" w:firstLineChars="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30.48</w:t>
                  </w:r>
                </w:p>
              </w:tc>
              <w:tc>
                <w:tcPr>
                  <w:tcW w:w="1495" w:type="dxa"/>
                  <w:tcBorders>
                    <w:tl2br w:val="nil"/>
                    <w:tr2bl w:val="nil"/>
                  </w:tcBorders>
                  <w:vAlign w:val="center"/>
                </w:tcPr>
                <w:p>
                  <w:pPr>
                    <w:jc w:val="center"/>
                    <w:rPr>
                      <w:color w:val="auto"/>
                      <w:sz w:val="21"/>
                      <w:szCs w:val="21"/>
                    </w:rPr>
                  </w:pPr>
                  <w:r>
                    <w:rPr>
                      <w:rFonts w:hint="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continue"/>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夜间</w:t>
                  </w:r>
                </w:p>
              </w:tc>
              <w:tc>
                <w:tcPr>
                  <w:tcW w:w="1961" w:type="dxa"/>
                  <w:vMerge w:val="continue"/>
                  <w:tcBorders>
                    <w:tl2br w:val="nil"/>
                    <w:tr2bl w:val="nil"/>
                  </w:tcBorders>
                  <w:vAlign w:val="center"/>
                </w:tcPr>
                <w:p>
                  <w:pPr>
                    <w:pStyle w:val="56"/>
                    <w:spacing w:beforeLines="0" w:afterLines="0" w:line="240" w:lineRule="auto"/>
                    <w:ind w:left="0" w:leftChars="0" w:right="0" w:rightChars="0" w:firstLine="0" w:firstLineChars="0"/>
                    <w:rPr>
                      <w:rFonts w:ascii="Times New Roman" w:hAnsi="Times New Roman"/>
                      <w:color w:val="auto"/>
                      <w:sz w:val="21"/>
                      <w:szCs w:val="21"/>
                    </w:rPr>
                  </w:pPr>
                </w:p>
              </w:tc>
              <w:tc>
                <w:tcPr>
                  <w:tcW w:w="1583" w:type="dxa"/>
                  <w:tcBorders>
                    <w:tl2br w:val="nil"/>
                    <w:tr2bl w:val="nil"/>
                  </w:tcBorders>
                  <w:vAlign w:val="center"/>
                </w:tcPr>
                <w:p>
                  <w:pPr>
                    <w:pStyle w:val="56"/>
                    <w:spacing w:beforeLines="0" w:afterLines="0" w:line="240" w:lineRule="auto"/>
                    <w:ind w:left="0" w:leftChars="0" w:right="0" w:rightChars="0" w:firstLine="0" w:firstLineChars="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27.</w:t>
                  </w:r>
                  <w:r>
                    <w:rPr>
                      <w:rFonts w:hint="eastAsia" w:ascii="Times New Roman" w:hAnsi="Times New Roman"/>
                      <w:color w:val="auto"/>
                      <w:sz w:val="21"/>
                      <w:szCs w:val="21"/>
                      <w:lang w:val="en-US" w:eastAsia="zh-CN"/>
                    </w:rPr>
                    <w:t>89</w:t>
                  </w:r>
                </w:p>
              </w:tc>
              <w:tc>
                <w:tcPr>
                  <w:tcW w:w="1495" w:type="dxa"/>
                  <w:tcBorders>
                    <w:tl2br w:val="nil"/>
                    <w:tr2bl w:val="nil"/>
                  </w:tcBorders>
                  <w:vAlign w:val="center"/>
                </w:tcPr>
                <w:p>
                  <w:pPr>
                    <w:jc w:val="center"/>
                    <w:rPr>
                      <w:color w:val="auto"/>
                      <w:sz w:val="21"/>
                      <w:szCs w:val="21"/>
                    </w:rPr>
                  </w:pPr>
                  <w:r>
                    <w:rPr>
                      <w:rFonts w:hint="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restart"/>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r>
                    <w:rPr>
                      <w:rFonts w:hint="eastAsia"/>
                      <w:color w:val="auto"/>
                      <w:sz w:val="21"/>
                      <w:szCs w:val="21"/>
                    </w:rPr>
                    <w:t>西侧</w:t>
                  </w: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昼间</w:t>
                  </w:r>
                </w:p>
              </w:tc>
              <w:tc>
                <w:tcPr>
                  <w:tcW w:w="1961" w:type="dxa"/>
                  <w:vMerge w:val="restart"/>
                  <w:tcBorders>
                    <w:tl2br w:val="nil"/>
                    <w:tr2bl w:val="nil"/>
                  </w:tcBorders>
                  <w:vAlign w:val="center"/>
                </w:tcPr>
                <w:p>
                  <w:pPr>
                    <w:pStyle w:val="56"/>
                    <w:spacing w:beforeLines="0" w:afterLines="0" w:line="240" w:lineRule="auto"/>
                    <w:ind w:left="0" w:leftChars="0" w:right="0" w:rightChars="0" w:firstLine="0" w:firstLineChars="0"/>
                    <w:rPr>
                      <w:rFonts w:ascii="Times New Roman" w:hAnsi="Times New Roman"/>
                      <w:color w:val="auto"/>
                      <w:sz w:val="21"/>
                      <w:szCs w:val="21"/>
                    </w:rPr>
                  </w:pPr>
                  <w:r>
                    <w:rPr>
                      <w:rFonts w:hint="eastAsia" w:ascii="Times New Roman" w:hAnsi="Times New Roman"/>
                      <w:color w:val="auto"/>
                      <w:sz w:val="21"/>
                      <w:szCs w:val="21"/>
                    </w:rPr>
                    <w:t>厂界外</w:t>
                  </w:r>
                  <w:r>
                    <w:rPr>
                      <w:rFonts w:ascii="Times New Roman" w:hAnsi="Times New Roman"/>
                      <w:color w:val="auto"/>
                      <w:sz w:val="21"/>
                      <w:szCs w:val="21"/>
                    </w:rPr>
                    <w:t>1m</w:t>
                  </w:r>
                  <w:r>
                    <w:rPr>
                      <w:rFonts w:hint="eastAsia" w:ascii="Times New Roman" w:hAnsi="Times New Roman"/>
                      <w:color w:val="auto"/>
                      <w:sz w:val="21"/>
                      <w:szCs w:val="21"/>
                    </w:rPr>
                    <w:t>处</w:t>
                  </w:r>
                </w:p>
              </w:tc>
              <w:tc>
                <w:tcPr>
                  <w:tcW w:w="1583" w:type="dxa"/>
                  <w:tcBorders>
                    <w:tl2br w:val="nil"/>
                    <w:tr2bl w:val="nil"/>
                  </w:tcBorders>
                  <w:vAlign w:val="center"/>
                </w:tcPr>
                <w:p>
                  <w:pPr>
                    <w:pStyle w:val="56"/>
                    <w:spacing w:beforeLines="0" w:afterLines="0" w:line="240" w:lineRule="auto"/>
                    <w:ind w:left="0" w:leftChars="0" w:right="0" w:rightChars="0" w:firstLine="0" w:firstLineChars="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20.12</w:t>
                  </w:r>
                </w:p>
              </w:tc>
              <w:tc>
                <w:tcPr>
                  <w:tcW w:w="1495" w:type="dxa"/>
                  <w:tcBorders>
                    <w:tl2br w:val="nil"/>
                    <w:tr2bl w:val="nil"/>
                  </w:tcBorders>
                  <w:vAlign w:val="center"/>
                </w:tcPr>
                <w:p>
                  <w:pPr>
                    <w:jc w:val="center"/>
                    <w:rPr>
                      <w:color w:val="auto"/>
                      <w:sz w:val="21"/>
                      <w:szCs w:val="21"/>
                    </w:rPr>
                  </w:pPr>
                  <w:r>
                    <w:rPr>
                      <w:rFonts w:hint="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37" w:type="dxa"/>
                  <w:vMerge w:val="continue"/>
                  <w:tcBorders>
                    <w:tl2br w:val="nil"/>
                    <w:tr2bl w:val="nil"/>
                  </w:tcBorders>
                  <w:vAlign w:val="center"/>
                </w:tcPr>
                <w:p>
                  <w:pPr>
                    <w:pStyle w:val="56"/>
                    <w:spacing w:beforeLines="0" w:afterLines="0" w:line="240" w:lineRule="auto"/>
                    <w:ind w:left="0" w:leftChars="0" w:right="0" w:rightChars="0" w:firstLine="0" w:firstLineChars="0"/>
                    <w:rPr>
                      <w:color w:val="auto"/>
                      <w:sz w:val="21"/>
                      <w:szCs w:val="21"/>
                    </w:rPr>
                  </w:pPr>
                </w:p>
              </w:tc>
              <w:tc>
                <w:tcPr>
                  <w:tcW w:w="1858" w:type="dxa"/>
                  <w:tcBorders>
                    <w:tl2br w:val="nil"/>
                    <w:tr2bl w:val="nil"/>
                  </w:tcBorders>
                  <w:vAlign w:val="center"/>
                </w:tcPr>
                <w:p>
                  <w:pPr>
                    <w:pStyle w:val="56"/>
                    <w:spacing w:beforeLines="0" w:afterLines="0" w:line="240" w:lineRule="auto"/>
                    <w:ind w:left="0" w:leftChars="0" w:right="0" w:rightChars="0" w:firstLine="0" w:firstLineChars="0"/>
                    <w:rPr>
                      <w:rFonts w:ascii="Calibri" w:hAnsi="Calibri" w:cs="Calibri"/>
                      <w:color w:val="auto"/>
                      <w:sz w:val="21"/>
                      <w:szCs w:val="21"/>
                    </w:rPr>
                  </w:pPr>
                  <w:r>
                    <w:rPr>
                      <w:rFonts w:hint="eastAsia" w:ascii="Calibri" w:hAnsi="Calibri" w:cs="Calibri"/>
                      <w:color w:val="auto"/>
                      <w:sz w:val="21"/>
                      <w:szCs w:val="21"/>
                    </w:rPr>
                    <w:t>夜间</w:t>
                  </w:r>
                </w:p>
              </w:tc>
              <w:tc>
                <w:tcPr>
                  <w:tcW w:w="1961" w:type="dxa"/>
                  <w:vMerge w:val="continue"/>
                  <w:tcBorders>
                    <w:tl2br w:val="nil"/>
                    <w:tr2bl w:val="nil"/>
                  </w:tcBorders>
                  <w:vAlign w:val="center"/>
                </w:tcPr>
                <w:p>
                  <w:pPr>
                    <w:pStyle w:val="56"/>
                    <w:spacing w:beforeLines="0" w:afterLines="0" w:line="240" w:lineRule="auto"/>
                    <w:ind w:left="0" w:leftChars="0" w:right="0" w:rightChars="0" w:firstLine="0" w:firstLineChars="0"/>
                    <w:rPr>
                      <w:rFonts w:ascii="Times New Roman" w:hAnsi="Times New Roman"/>
                      <w:color w:val="auto"/>
                      <w:sz w:val="21"/>
                      <w:szCs w:val="21"/>
                    </w:rPr>
                  </w:pPr>
                </w:p>
              </w:tc>
              <w:tc>
                <w:tcPr>
                  <w:tcW w:w="1583" w:type="dxa"/>
                  <w:tcBorders>
                    <w:tl2br w:val="nil"/>
                    <w:tr2bl w:val="nil"/>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14.33</w:t>
                  </w:r>
                </w:p>
              </w:tc>
              <w:tc>
                <w:tcPr>
                  <w:tcW w:w="1495" w:type="dxa"/>
                  <w:tcBorders>
                    <w:tl2br w:val="nil"/>
                    <w:tr2bl w:val="nil"/>
                  </w:tcBorders>
                  <w:vAlign w:val="center"/>
                </w:tcPr>
                <w:p>
                  <w:pPr>
                    <w:jc w:val="center"/>
                    <w:rPr>
                      <w:color w:val="auto"/>
                      <w:sz w:val="21"/>
                      <w:szCs w:val="21"/>
                    </w:rPr>
                  </w:pPr>
                  <w:r>
                    <w:rPr>
                      <w:rFonts w:hint="eastAsia"/>
                      <w:color w:val="auto"/>
                      <w:sz w:val="21"/>
                      <w:szCs w:val="21"/>
                    </w:rPr>
                    <w:t>达标</w:t>
                  </w:r>
                </w:p>
              </w:tc>
            </w:tr>
          </w:tbl>
          <w:p>
            <w:pPr>
              <w:spacing w:line="360" w:lineRule="auto"/>
              <w:ind w:firstLine="480" w:firstLineChars="200"/>
              <w:rPr>
                <w:color w:val="auto"/>
              </w:rPr>
            </w:pPr>
          </w:p>
          <w:p>
            <w:pPr>
              <w:spacing w:line="360" w:lineRule="auto"/>
              <w:ind w:firstLine="480" w:firstLineChars="200"/>
              <w:rPr>
                <w:bCs/>
                <w:color w:val="auto"/>
              </w:rPr>
            </w:pPr>
            <w:r>
              <w:rPr>
                <w:color w:val="auto"/>
              </w:rPr>
              <w:t>根据预测结果，本项目设备噪声</w:t>
            </w:r>
            <w:r>
              <w:rPr>
                <w:rFonts w:hint="eastAsia"/>
                <w:color w:val="auto"/>
              </w:rPr>
              <w:t>经厂房隔声</w:t>
            </w:r>
            <w:r>
              <w:rPr>
                <w:color w:val="auto"/>
              </w:rPr>
              <w:t>等措施，</w:t>
            </w:r>
            <w:r>
              <w:rPr>
                <w:rFonts w:hint="eastAsia"/>
                <w:color w:val="auto"/>
              </w:rPr>
              <w:t>并</w:t>
            </w:r>
            <w:r>
              <w:rPr>
                <w:color w:val="auto"/>
              </w:rPr>
              <w:t>优化厂区布置，</w:t>
            </w:r>
            <w:r>
              <w:rPr>
                <w:rFonts w:hint="eastAsia"/>
                <w:color w:val="auto"/>
              </w:rPr>
              <w:t>运输车辆作业位置尽量靠近厂区</w:t>
            </w:r>
            <w:r>
              <w:rPr>
                <w:color w:val="auto"/>
              </w:rPr>
              <w:t>中部，</w:t>
            </w:r>
            <w:r>
              <w:rPr>
                <w:rFonts w:hint="eastAsia"/>
                <w:color w:val="auto"/>
              </w:rPr>
              <w:t>工厂作业噪声对各厂界的贡献值都很小。</w:t>
            </w:r>
            <w:r>
              <w:rPr>
                <w:color w:val="auto"/>
              </w:rPr>
              <w:t>本项目</w:t>
            </w:r>
            <w:r>
              <w:rPr>
                <w:rFonts w:hint="eastAsia"/>
                <w:color w:val="auto"/>
                <w:spacing w:val="0"/>
                <w:lang w:val="en-US" w:eastAsia="zh-CN"/>
              </w:rPr>
              <w:t>厂界西侧噪声满足《工业企业厂界环境噪声排放标准》（GB123448-2008）表1中4类标准要求，东侧、南侧、北侧满足《工业企业厂界环境噪声排放标准》（GB123448-2008）表1中2类标准要求</w:t>
            </w:r>
            <w:r>
              <w:rPr>
                <w:rFonts w:hint="eastAsia"/>
                <w:color w:val="auto"/>
                <w:spacing w:val="0"/>
                <w:lang w:eastAsia="zh-CN"/>
              </w:rPr>
              <w:t>，</w:t>
            </w:r>
            <w:r>
              <w:rPr>
                <w:color w:val="auto"/>
              </w:rPr>
              <w:t>本项目噪声对周围声环境造成的不利影响较小，可被环境接受。</w:t>
            </w:r>
          </w:p>
          <w:p>
            <w:pPr>
              <w:pStyle w:val="51"/>
              <w:numPr>
                <w:ilvl w:val="0"/>
                <w:numId w:val="13"/>
              </w:numPr>
              <w:ind w:firstLine="480"/>
              <w:jc w:val="both"/>
              <w:rPr>
                <w:color w:val="auto"/>
              </w:rPr>
            </w:pPr>
            <w:r>
              <w:rPr>
                <w:color w:val="auto"/>
              </w:rPr>
              <w:t>噪声污染防治措施</w:t>
            </w:r>
          </w:p>
          <w:p>
            <w:pPr>
              <w:spacing w:line="360" w:lineRule="auto"/>
              <w:ind w:firstLine="480" w:firstLineChars="200"/>
              <w:rPr>
                <w:color w:val="auto"/>
              </w:rPr>
            </w:pPr>
            <w:r>
              <w:rPr>
                <w:color w:val="auto"/>
              </w:rPr>
              <w:t>项目运营期设备噪声主要来源于机械设备噪声，其噪声值在80～85dB</w:t>
            </w:r>
            <w:r>
              <w:rPr>
                <w:rFonts w:hint="eastAsia"/>
                <w:color w:val="auto"/>
              </w:rPr>
              <w:t>（</w:t>
            </w:r>
            <w:r>
              <w:rPr>
                <w:color w:val="auto"/>
              </w:rPr>
              <w:t>A</w:t>
            </w:r>
            <w:r>
              <w:rPr>
                <w:rFonts w:hint="eastAsia"/>
                <w:color w:val="auto"/>
              </w:rPr>
              <w:t>）</w:t>
            </w:r>
            <w:r>
              <w:rPr>
                <w:color w:val="auto"/>
              </w:rPr>
              <w:t>之间。结合同类项目的噪声防治措施，建议可以采取以下措施进行防护</w:t>
            </w:r>
            <w:r>
              <w:rPr>
                <w:rFonts w:hint="eastAsia"/>
                <w:color w:val="auto"/>
              </w:rPr>
              <w:t>：</w:t>
            </w:r>
          </w:p>
          <w:p>
            <w:pPr>
              <w:spacing w:line="360" w:lineRule="auto"/>
              <w:ind w:firstLine="480" w:firstLineChars="200"/>
              <w:rPr>
                <w:color w:val="auto"/>
              </w:rPr>
            </w:pPr>
            <w:r>
              <w:rPr>
                <w:color w:val="auto"/>
              </w:rPr>
              <w:t>①优先选用符合生产要求的低噪声设备；</w:t>
            </w:r>
          </w:p>
          <w:p>
            <w:pPr>
              <w:spacing w:line="360" w:lineRule="auto"/>
              <w:ind w:firstLine="480" w:firstLineChars="200"/>
              <w:rPr>
                <w:color w:val="auto"/>
              </w:rPr>
            </w:pPr>
            <w:r>
              <w:rPr>
                <w:color w:val="auto"/>
              </w:rPr>
              <w:t>②采取隔声等措施，例如铺设减</w:t>
            </w:r>
            <w:r>
              <w:rPr>
                <w:rFonts w:hint="eastAsia"/>
                <w:color w:val="auto"/>
              </w:rPr>
              <w:t>振</w:t>
            </w:r>
            <w:r>
              <w:rPr>
                <w:color w:val="auto"/>
              </w:rPr>
              <w:t>垫，减轻</w:t>
            </w:r>
            <w:r>
              <w:rPr>
                <w:rFonts w:hint="eastAsia"/>
                <w:color w:val="auto"/>
              </w:rPr>
              <w:t>振</w:t>
            </w:r>
            <w:r>
              <w:rPr>
                <w:color w:val="auto"/>
              </w:rPr>
              <w:t>动；</w:t>
            </w:r>
          </w:p>
          <w:p>
            <w:pPr>
              <w:spacing w:line="360" w:lineRule="auto"/>
              <w:ind w:firstLine="480" w:firstLineChars="200"/>
              <w:rPr>
                <w:color w:val="auto"/>
              </w:rPr>
            </w:pPr>
            <w:r>
              <w:rPr>
                <w:color w:val="auto"/>
              </w:rPr>
              <w:t>③设备合理布局，加强厂区绿化；</w:t>
            </w:r>
          </w:p>
          <w:p>
            <w:pPr>
              <w:spacing w:line="360" w:lineRule="auto"/>
              <w:ind w:firstLine="480" w:firstLineChars="200"/>
              <w:rPr>
                <w:color w:val="auto"/>
              </w:rPr>
            </w:pPr>
            <w:r>
              <w:rPr>
                <w:color w:val="auto"/>
              </w:rPr>
              <w:t>④建立设备定期维护，保养的管理制度，以防止设备故障形成的非正常生产噪声，同时确保环保措施发挥</w:t>
            </w:r>
            <w:r>
              <w:rPr>
                <w:rFonts w:hint="eastAsia"/>
                <w:color w:val="auto"/>
                <w:lang w:eastAsia="zh-CN"/>
              </w:rPr>
              <w:t>最</w:t>
            </w:r>
            <w:r>
              <w:rPr>
                <w:color w:val="auto"/>
              </w:rPr>
              <w:t>有效的功能；</w:t>
            </w:r>
          </w:p>
          <w:p>
            <w:pPr>
              <w:spacing w:line="360" w:lineRule="auto"/>
              <w:ind w:firstLine="480" w:firstLineChars="200"/>
              <w:rPr>
                <w:color w:val="auto"/>
              </w:rPr>
            </w:pPr>
            <w:r>
              <w:rPr>
                <w:color w:val="auto"/>
              </w:rPr>
              <w:t>预测结果表明，采取噪声治理措施后，本项目</w:t>
            </w:r>
            <w:r>
              <w:rPr>
                <w:rFonts w:hint="eastAsia"/>
                <w:color w:val="auto"/>
                <w:spacing w:val="0"/>
                <w:lang w:val="en-US" w:eastAsia="zh-CN"/>
              </w:rPr>
              <w:t>厂界西侧噪声满足《工业企业厂界环境噪声排放标准》（GB123448-2008）表1中4类标准要求，东侧、南侧、北侧满足《工业企业厂界环境噪声排放标准》（GB123448-2008）表1中2类标准要求</w:t>
            </w:r>
            <w:r>
              <w:rPr>
                <w:color w:val="auto"/>
              </w:rPr>
              <w:t>。</w:t>
            </w:r>
          </w:p>
          <w:p>
            <w:pPr>
              <w:pStyle w:val="51"/>
              <w:numPr>
                <w:ilvl w:val="0"/>
                <w:numId w:val="13"/>
              </w:numPr>
              <w:ind w:firstLine="480"/>
              <w:rPr>
                <w:color w:val="auto"/>
              </w:rPr>
            </w:pPr>
            <w:r>
              <w:rPr>
                <w:color w:val="auto"/>
              </w:rPr>
              <w:t>监测计划</w:t>
            </w:r>
          </w:p>
          <w:p>
            <w:pPr>
              <w:pStyle w:val="5"/>
              <w:widowControl/>
              <w:shd w:val="clear" w:color="auto" w:fill="FFFFFF"/>
              <w:spacing w:beforeAutospacing="0" w:afterAutospacing="0" w:line="360" w:lineRule="auto"/>
              <w:ind w:firstLine="480" w:firstLineChars="200"/>
              <w:jc w:val="both"/>
              <w:rPr>
                <w:rFonts w:hint="default" w:ascii="Times New Roman" w:hAnsi="Times New Roman"/>
                <w:b w:val="0"/>
                <w:bCs w:val="0"/>
                <w:color w:val="auto"/>
                <w:kern w:val="2"/>
                <w:sz w:val="24"/>
                <w:szCs w:val="24"/>
              </w:rPr>
            </w:pPr>
            <w:bookmarkStart w:id="28" w:name="_Toc27013"/>
            <w:bookmarkStart w:id="29" w:name="_Toc21867"/>
            <w:bookmarkStart w:id="30" w:name="_Toc25924"/>
            <w:bookmarkStart w:id="31" w:name="_Toc25494"/>
            <w:r>
              <w:rPr>
                <w:rFonts w:ascii="Times New Roman" w:hAnsi="Times New Roman"/>
                <w:b w:val="0"/>
                <w:bCs w:val="0"/>
                <w:color w:val="auto"/>
                <w:kern w:val="2"/>
                <w:sz w:val="24"/>
                <w:szCs w:val="24"/>
              </w:rPr>
              <w:t>根据《排污单位自</w:t>
            </w:r>
            <w:r>
              <w:rPr>
                <w:rFonts w:hint="default" w:ascii="Times New Roman" w:hAnsi="Times New Roman" w:cs="Times New Roman"/>
                <w:b w:val="0"/>
                <w:bCs w:val="0"/>
                <w:color w:val="auto"/>
                <w:kern w:val="2"/>
                <w:sz w:val="24"/>
                <w:szCs w:val="24"/>
              </w:rPr>
              <w:t>行监测技术指南 总则》（HJ819-2017）、《排污许可证申请与核发技术规范 石墨及其他非金属矿物制品制造》（HJ1119—2020）确定本项目环境监测计划。</w:t>
            </w:r>
            <w:bookmarkEnd w:id="28"/>
            <w:bookmarkEnd w:id="29"/>
            <w:bookmarkEnd w:id="30"/>
            <w:bookmarkEnd w:id="31"/>
          </w:p>
          <w:p>
            <w:pPr>
              <w:pStyle w:val="55"/>
              <w:numPr>
                <w:ilvl w:val="0"/>
                <w:numId w:val="0"/>
              </w:numPr>
              <w:spacing w:line="360" w:lineRule="auto"/>
              <w:ind w:firstLine="482" w:firstLineChars="200"/>
              <w:rPr>
                <w:color w:val="auto"/>
              </w:rPr>
            </w:pPr>
            <w:r>
              <w:rPr>
                <w:rFonts w:ascii="宋体" w:hAnsi="宋体" w:cs="宋体"/>
                <w:color w:val="auto"/>
              </w:rPr>
              <w:t>表4-</w:t>
            </w:r>
            <w:r>
              <w:rPr>
                <w:rFonts w:hint="eastAsia" w:ascii="宋体" w:hAnsi="宋体" w:cs="宋体"/>
                <w:color w:val="auto"/>
              </w:rPr>
              <w:t>1</w:t>
            </w:r>
            <w:r>
              <w:rPr>
                <w:rFonts w:hint="eastAsia" w:ascii="宋体" w:hAnsi="宋体" w:cs="宋体"/>
                <w:color w:val="auto"/>
                <w:lang w:val="en-US" w:eastAsia="zh-CN"/>
              </w:rPr>
              <w:t>1</w:t>
            </w:r>
            <w:r>
              <w:rPr>
                <w:rFonts w:hint="eastAsia" w:ascii="宋体" w:hAnsi="宋体" w:cs="宋体"/>
                <w:color w:val="auto"/>
              </w:rPr>
              <w:t xml:space="preserve"> </w:t>
            </w:r>
            <w:r>
              <w:rPr>
                <w:color w:val="auto"/>
              </w:rPr>
              <w:t xml:space="preserve"> 噪声监测计划</w:t>
            </w:r>
          </w:p>
          <w:tbl>
            <w:tblPr>
              <w:tblStyle w:val="30"/>
              <w:tblW w:w="844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08"/>
              <w:gridCol w:w="1100"/>
              <w:gridCol w:w="866"/>
              <w:gridCol w:w="4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1" w:type="dxa"/>
                  <w:tcBorders>
                    <w:tl2br w:val="nil"/>
                    <w:tr2bl w:val="nil"/>
                  </w:tcBorders>
                  <w:vAlign w:val="center"/>
                </w:tcPr>
                <w:p>
                  <w:pPr>
                    <w:pStyle w:val="67"/>
                    <w:keepNext/>
                    <w:keepLines/>
                    <w:adjustRightInd w:val="0"/>
                    <w:snapToGrid w:val="0"/>
                    <w:rPr>
                      <w:color w:val="auto"/>
                      <w:szCs w:val="21"/>
                    </w:rPr>
                  </w:pPr>
                  <w:r>
                    <w:rPr>
                      <w:color w:val="auto"/>
                      <w:szCs w:val="21"/>
                    </w:rPr>
                    <w:t>监测要素</w:t>
                  </w:r>
                </w:p>
              </w:tc>
              <w:tc>
                <w:tcPr>
                  <w:tcW w:w="1208" w:type="dxa"/>
                  <w:tcBorders>
                    <w:tl2br w:val="nil"/>
                    <w:tr2bl w:val="nil"/>
                  </w:tcBorders>
                  <w:vAlign w:val="center"/>
                </w:tcPr>
                <w:p>
                  <w:pPr>
                    <w:pStyle w:val="67"/>
                    <w:keepNext/>
                    <w:keepLines/>
                    <w:adjustRightInd w:val="0"/>
                    <w:snapToGrid w:val="0"/>
                    <w:rPr>
                      <w:color w:val="auto"/>
                      <w:szCs w:val="21"/>
                    </w:rPr>
                  </w:pPr>
                  <w:r>
                    <w:rPr>
                      <w:color w:val="auto"/>
                      <w:szCs w:val="21"/>
                    </w:rPr>
                    <w:t>监测位置</w:t>
                  </w:r>
                </w:p>
              </w:tc>
              <w:tc>
                <w:tcPr>
                  <w:tcW w:w="1100" w:type="dxa"/>
                  <w:tcBorders>
                    <w:tl2br w:val="nil"/>
                    <w:tr2bl w:val="nil"/>
                  </w:tcBorders>
                  <w:vAlign w:val="center"/>
                </w:tcPr>
                <w:p>
                  <w:pPr>
                    <w:pStyle w:val="67"/>
                    <w:keepNext/>
                    <w:keepLines/>
                    <w:adjustRightInd w:val="0"/>
                    <w:snapToGrid w:val="0"/>
                    <w:rPr>
                      <w:color w:val="auto"/>
                      <w:szCs w:val="21"/>
                    </w:rPr>
                  </w:pPr>
                  <w:r>
                    <w:rPr>
                      <w:color w:val="auto"/>
                      <w:szCs w:val="21"/>
                    </w:rPr>
                    <w:t>监测项目</w:t>
                  </w:r>
                </w:p>
              </w:tc>
              <w:tc>
                <w:tcPr>
                  <w:tcW w:w="866" w:type="dxa"/>
                  <w:tcBorders>
                    <w:tl2br w:val="nil"/>
                    <w:tr2bl w:val="nil"/>
                  </w:tcBorders>
                  <w:vAlign w:val="center"/>
                </w:tcPr>
                <w:p>
                  <w:pPr>
                    <w:pStyle w:val="67"/>
                    <w:keepNext/>
                    <w:keepLines/>
                    <w:adjustRightInd w:val="0"/>
                    <w:snapToGrid w:val="0"/>
                    <w:rPr>
                      <w:color w:val="auto"/>
                      <w:szCs w:val="21"/>
                    </w:rPr>
                  </w:pPr>
                  <w:r>
                    <w:rPr>
                      <w:color w:val="auto"/>
                      <w:szCs w:val="21"/>
                    </w:rPr>
                    <w:t>监测频次</w:t>
                  </w:r>
                </w:p>
              </w:tc>
              <w:tc>
                <w:tcPr>
                  <w:tcW w:w="4087" w:type="dxa"/>
                  <w:tcBorders>
                    <w:tl2br w:val="nil"/>
                    <w:tr2bl w:val="nil"/>
                  </w:tcBorders>
                  <w:vAlign w:val="center"/>
                </w:tcPr>
                <w:p>
                  <w:pPr>
                    <w:pStyle w:val="67"/>
                    <w:keepNext/>
                    <w:keepLines/>
                    <w:adjustRightInd w:val="0"/>
                    <w:snapToGrid w:val="0"/>
                    <w:rPr>
                      <w:color w:val="auto"/>
                      <w:szCs w:val="21"/>
                    </w:rPr>
                  </w:pPr>
                  <w:r>
                    <w:rPr>
                      <w:color w:val="auto"/>
                      <w:szCs w:val="21"/>
                    </w:rPr>
                    <w:t>执行标准及其限值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1" w:type="dxa"/>
                  <w:tcBorders>
                    <w:tl2br w:val="nil"/>
                    <w:tr2bl w:val="nil"/>
                  </w:tcBorders>
                  <w:vAlign w:val="center"/>
                </w:tcPr>
                <w:p>
                  <w:pPr>
                    <w:pStyle w:val="67"/>
                    <w:keepNext/>
                    <w:keepLines/>
                    <w:adjustRightInd w:val="0"/>
                    <w:snapToGrid w:val="0"/>
                    <w:rPr>
                      <w:color w:val="auto"/>
                      <w:szCs w:val="21"/>
                    </w:rPr>
                  </w:pPr>
                  <w:r>
                    <w:rPr>
                      <w:color w:val="auto"/>
                      <w:szCs w:val="21"/>
                    </w:rPr>
                    <w:t>噪声</w:t>
                  </w:r>
                </w:p>
              </w:tc>
              <w:tc>
                <w:tcPr>
                  <w:tcW w:w="1208" w:type="dxa"/>
                  <w:tcBorders>
                    <w:tl2br w:val="nil"/>
                    <w:tr2bl w:val="nil"/>
                  </w:tcBorders>
                  <w:vAlign w:val="center"/>
                </w:tcPr>
                <w:p>
                  <w:pPr>
                    <w:pStyle w:val="67"/>
                    <w:keepNext/>
                    <w:keepLines/>
                    <w:adjustRightInd w:val="0"/>
                    <w:snapToGrid w:val="0"/>
                    <w:rPr>
                      <w:color w:val="auto"/>
                      <w:szCs w:val="21"/>
                    </w:rPr>
                  </w:pPr>
                  <w:r>
                    <w:rPr>
                      <w:color w:val="auto"/>
                      <w:szCs w:val="21"/>
                    </w:rPr>
                    <w:t>厂界四周</w:t>
                  </w:r>
                </w:p>
              </w:tc>
              <w:tc>
                <w:tcPr>
                  <w:tcW w:w="1100" w:type="dxa"/>
                  <w:tcBorders>
                    <w:tl2br w:val="nil"/>
                    <w:tr2bl w:val="nil"/>
                  </w:tcBorders>
                  <w:vAlign w:val="center"/>
                </w:tcPr>
                <w:p>
                  <w:pPr>
                    <w:pStyle w:val="67"/>
                    <w:keepNext/>
                    <w:keepLines/>
                    <w:adjustRightInd w:val="0"/>
                    <w:snapToGrid w:val="0"/>
                    <w:rPr>
                      <w:rFonts w:hint="default" w:eastAsia="宋体"/>
                      <w:color w:val="auto"/>
                      <w:szCs w:val="21"/>
                      <w:lang w:val="en-US" w:eastAsia="zh-CN"/>
                    </w:rPr>
                  </w:pPr>
                  <w:r>
                    <w:rPr>
                      <w:color w:val="auto"/>
                      <w:szCs w:val="21"/>
                    </w:rPr>
                    <w:t>等效连续A声级</w:t>
                  </w:r>
                  <w:r>
                    <w:rPr>
                      <w:rFonts w:hint="eastAsia"/>
                      <w:color w:val="auto"/>
                      <w:szCs w:val="21"/>
                      <w:lang w:eastAsia="zh-CN"/>
                    </w:rPr>
                    <w:t>、</w:t>
                  </w:r>
                  <w:r>
                    <w:rPr>
                      <w:rFonts w:hint="eastAsia"/>
                      <w:color w:val="auto"/>
                      <w:szCs w:val="21"/>
                      <w:lang w:val="en-US" w:eastAsia="zh-CN"/>
                    </w:rPr>
                    <w:t>最大声级</w:t>
                  </w:r>
                </w:p>
              </w:tc>
              <w:tc>
                <w:tcPr>
                  <w:tcW w:w="866" w:type="dxa"/>
                  <w:tcBorders>
                    <w:tl2br w:val="nil"/>
                    <w:tr2bl w:val="nil"/>
                  </w:tcBorders>
                  <w:vAlign w:val="center"/>
                </w:tcPr>
                <w:p>
                  <w:pPr>
                    <w:pStyle w:val="67"/>
                    <w:keepNext/>
                    <w:keepLines/>
                    <w:adjustRightInd w:val="0"/>
                    <w:snapToGrid w:val="0"/>
                    <w:rPr>
                      <w:color w:val="auto"/>
                      <w:szCs w:val="21"/>
                    </w:rPr>
                  </w:pPr>
                  <w:r>
                    <w:rPr>
                      <w:color w:val="auto"/>
                      <w:szCs w:val="21"/>
                    </w:rPr>
                    <w:t>1次/季</w:t>
                  </w:r>
                </w:p>
              </w:tc>
              <w:tc>
                <w:tcPr>
                  <w:tcW w:w="4087" w:type="dxa"/>
                  <w:tcBorders>
                    <w:tl2br w:val="nil"/>
                    <w:tr2bl w:val="nil"/>
                  </w:tcBorders>
                  <w:vAlign w:val="center"/>
                </w:tcPr>
                <w:p>
                  <w:pPr>
                    <w:pStyle w:val="67"/>
                    <w:keepNext/>
                    <w:keepLines/>
                    <w:adjustRightInd w:val="0"/>
                    <w:snapToGrid w:val="0"/>
                    <w:rPr>
                      <w:color w:val="auto"/>
                      <w:szCs w:val="21"/>
                    </w:rPr>
                  </w:pPr>
                  <w:r>
                    <w:rPr>
                      <w:color w:val="auto"/>
                      <w:szCs w:val="21"/>
                    </w:rPr>
                    <w:t>《工业企业厂界环境噪声排放标准》（GB12348-2008）中</w:t>
                  </w:r>
                  <w:r>
                    <w:rPr>
                      <w:rFonts w:hint="eastAsia"/>
                      <w:color w:val="auto"/>
                      <w:szCs w:val="21"/>
                      <w:lang w:val="en-US" w:eastAsia="zh-CN"/>
                    </w:rPr>
                    <w:t>2</w:t>
                  </w:r>
                  <w:r>
                    <w:rPr>
                      <w:color w:val="auto"/>
                      <w:szCs w:val="21"/>
                    </w:rPr>
                    <w:t>类</w:t>
                  </w:r>
                  <w:r>
                    <w:rPr>
                      <w:rFonts w:hint="eastAsia"/>
                      <w:color w:val="auto"/>
                      <w:szCs w:val="21"/>
                      <w:lang w:eastAsia="zh-CN"/>
                    </w:rPr>
                    <w:t>、</w:t>
                  </w:r>
                  <w:r>
                    <w:rPr>
                      <w:rFonts w:hint="eastAsia"/>
                      <w:color w:val="auto"/>
                      <w:szCs w:val="21"/>
                      <w:lang w:val="en-US" w:eastAsia="zh-CN"/>
                    </w:rPr>
                    <w:t>4类</w:t>
                  </w:r>
                  <w:r>
                    <w:rPr>
                      <w:color w:val="auto"/>
                      <w:szCs w:val="21"/>
                    </w:rPr>
                    <w:t>标准</w:t>
                  </w:r>
                </w:p>
              </w:tc>
            </w:tr>
          </w:tbl>
          <w:p>
            <w:pPr>
              <w:pStyle w:val="51"/>
              <w:numPr>
                <w:ilvl w:val="0"/>
                <w:numId w:val="11"/>
              </w:numPr>
              <w:ind w:firstLine="482"/>
              <w:rPr>
                <w:b/>
                <w:bCs/>
                <w:color w:val="auto"/>
              </w:rPr>
            </w:pPr>
            <w:r>
              <w:rPr>
                <w:b/>
                <w:bCs/>
                <w:color w:val="auto"/>
              </w:rPr>
              <w:t>固体废物</w:t>
            </w:r>
          </w:p>
          <w:p>
            <w:pPr>
              <w:pStyle w:val="60"/>
              <w:adjustRightInd w:val="0"/>
              <w:snapToGrid w:val="0"/>
              <w:spacing w:before="0" w:beforeLines="0" w:line="360" w:lineRule="auto"/>
              <w:ind w:firstLine="480" w:firstLineChars="200"/>
              <w:rPr>
                <w:b w:val="0"/>
                <w:bCs/>
                <w:color w:val="auto"/>
              </w:rPr>
            </w:pPr>
            <w:r>
              <w:rPr>
                <w:b w:val="0"/>
                <w:bCs/>
                <w:color w:val="auto"/>
              </w:rPr>
              <w:t>本项目投产后产生的固体废弃物主要为</w:t>
            </w:r>
            <w:r>
              <w:rPr>
                <w:rFonts w:hint="eastAsia"/>
                <w:b w:val="0"/>
                <w:bCs/>
                <w:color w:val="auto"/>
              </w:rPr>
              <w:t>员工生活垃圾、废石料、除尘器收集的粉尘、滴漏沥青及</w:t>
            </w:r>
            <w:r>
              <w:rPr>
                <w:rFonts w:hint="eastAsia"/>
                <w:b w:val="0"/>
                <w:bCs/>
                <w:color w:val="auto"/>
                <w:lang w:eastAsia="zh-CN"/>
              </w:rPr>
              <w:t>拌和</w:t>
            </w:r>
            <w:r>
              <w:rPr>
                <w:rFonts w:hint="eastAsia"/>
                <w:b w:val="0"/>
                <w:bCs/>
                <w:color w:val="auto"/>
              </w:rPr>
              <w:t>残渣，废布袋、废活性炭、废导热油。</w:t>
            </w:r>
          </w:p>
          <w:p>
            <w:pPr>
              <w:pStyle w:val="60"/>
              <w:adjustRightInd w:val="0"/>
              <w:snapToGrid w:val="0"/>
              <w:spacing w:before="0" w:beforeLines="0" w:line="360" w:lineRule="auto"/>
              <w:ind w:firstLine="480" w:firstLineChars="200"/>
              <w:rPr>
                <w:b w:val="0"/>
                <w:bCs/>
                <w:color w:val="auto"/>
              </w:rPr>
            </w:pPr>
            <w:r>
              <w:rPr>
                <w:b w:val="0"/>
                <w:bCs/>
                <w:color w:val="auto"/>
              </w:rPr>
              <w:t>（1）</w:t>
            </w:r>
            <w:r>
              <w:rPr>
                <w:rFonts w:hint="eastAsia"/>
                <w:b w:val="0"/>
                <w:bCs/>
                <w:color w:val="auto"/>
              </w:rPr>
              <w:t>生活垃圾</w:t>
            </w:r>
          </w:p>
          <w:p>
            <w:pPr>
              <w:pStyle w:val="60"/>
              <w:adjustRightInd w:val="0"/>
              <w:snapToGrid w:val="0"/>
              <w:spacing w:before="0" w:beforeLines="0" w:line="360" w:lineRule="auto"/>
              <w:ind w:firstLine="480" w:firstLineChars="200"/>
              <w:rPr>
                <w:b w:val="0"/>
                <w:bCs/>
                <w:color w:val="auto"/>
              </w:rPr>
            </w:pPr>
            <w:r>
              <w:rPr>
                <w:rFonts w:hint="eastAsia"/>
                <w:b w:val="0"/>
                <w:bCs/>
                <w:color w:val="auto"/>
              </w:rPr>
              <w:t>员工生活垃圾产生量按0.5kg/人·d计，本项目职工</w:t>
            </w:r>
            <w:r>
              <w:rPr>
                <w:rFonts w:hint="eastAsia"/>
                <w:b w:val="0"/>
                <w:bCs/>
                <w:color w:val="auto"/>
                <w:lang w:val="en-US" w:eastAsia="zh-CN"/>
              </w:rPr>
              <w:t>6</w:t>
            </w:r>
            <w:r>
              <w:rPr>
                <w:rFonts w:hint="eastAsia"/>
                <w:b w:val="0"/>
                <w:bCs/>
                <w:color w:val="auto"/>
              </w:rPr>
              <w:t>人，项目年工作日</w:t>
            </w:r>
            <w:r>
              <w:rPr>
                <w:rFonts w:hint="eastAsia"/>
                <w:b w:val="0"/>
                <w:bCs/>
                <w:color w:val="auto"/>
                <w:lang w:val="en-US" w:eastAsia="zh-CN"/>
              </w:rPr>
              <w:t>9</w:t>
            </w:r>
            <w:r>
              <w:rPr>
                <w:rFonts w:hint="eastAsia"/>
                <w:b w:val="0"/>
                <w:bCs/>
                <w:color w:val="auto"/>
              </w:rPr>
              <w:t>0d计，生活垃圾产生量约为</w:t>
            </w:r>
            <w:r>
              <w:rPr>
                <w:rFonts w:hint="eastAsia"/>
                <w:b w:val="0"/>
                <w:bCs/>
                <w:color w:val="auto"/>
                <w:lang w:val="en-US" w:eastAsia="zh-CN"/>
              </w:rPr>
              <w:t>0.27</w:t>
            </w:r>
            <w:r>
              <w:rPr>
                <w:rFonts w:hint="eastAsia"/>
                <w:b w:val="0"/>
                <w:bCs/>
                <w:color w:val="auto"/>
              </w:rPr>
              <w:t>t/a，</w:t>
            </w:r>
            <w:r>
              <w:rPr>
                <w:rFonts w:hint="eastAsia" w:ascii="Times New Roman" w:hAnsi="Times New Roman" w:eastAsia="宋体" w:cs="Times New Roman"/>
                <w:b w:val="0"/>
                <w:bCs/>
                <w:color w:val="auto"/>
                <w:lang w:val="en-US" w:eastAsia="zh-CN"/>
              </w:rPr>
              <w:t>固废代码：900-099-S64，</w:t>
            </w:r>
            <w:r>
              <w:rPr>
                <w:rFonts w:hint="eastAsia"/>
                <w:b w:val="0"/>
                <w:bCs/>
                <w:color w:val="auto"/>
              </w:rPr>
              <w:t>生活垃圾经集中收集后委托当地环卫部门清运处理。</w:t>
            </w:r>
          </w:p>
          <w:p>
            <w:pPr>
              <w:pStyle w:val="60"/>
              <w:adjustRightInd w:val="0"/>
              <w:snapToGrid w:val="0"/>
              <w:spacing w:before="0" w:beforeLines="0" w:line="360" w:lineRule="auto"/>
              <w:ind w:firstLine="480" w:firstLineChars="200"/>
              <w:rPr>
                <w:b w:val="0"/>
                <w:bCs/>
                <w:color w:val="auto"/>
              </w:rPr>
            </w:pPr>
            <w:r>
              <w:rPr>
                <w:rFonts w:hint="eastAsia"/>
                <w:b w:val="0"/>
                <w:bCs/>
                <w:color w:val="auto"/>
              </w:rPr>
              <w:t>（2）废石料</w:t>
            </w:r>
          </w:p>
          <w:p>
            <w:pPr>
              <w:pStyle w:val="60"/>
              <w:adjustRightInd w:val="0"/>
              <w:snapToGrid w:val="0"/>
              <w:spacing w:before="0" w:beforeLines="0" w:line="360" w:lineRule="auto"/>
              <w:ind w:firstLine="480" w:firstLineChars="200"/>
              <w:rPr>
                <w:b w:val="0"/>
                <w:bCs/>
                <w:color w:val="auto"/>
              </w:rPr>
            </w:pPr>
            <w:r>
              <w:rPr>
                <w:b w:val="0"/>
                <w:bCs/>
                <w:color w:val="auto"/>
              </w:rPr>
              <w:t>骨料经通过提升机进入振动筛，筛分后符合产品要求的骨料进入拌缸内搅拌，不符合产品要求</w:t>
            </w:r>
            <w:r>
              <w:rPr>
                <w:rFonts w:hint="eastAsia"/>
                <w:b w:val="0"/>
                <w:bCs/>
                <w:color w:val="auto"/>
              </w:rPr>
              <w:t>的</w:t>
            </w:r>
            <w:r>
              <w:rPr>
                <w:b w:val="0"/>
                <w:bCs/>
                <w:color w:val="auto"/>
              </w:rPr>
              <w:t>废石料经专</w:t>
            </w:r>
            <w:r>
              <w:rPr>
                <w:rFonts w:hint="eastAsia" w:ascii="Times New Roman" w:hAnsi="Times New Roman" w:eastAsia="宋体" w:cs="Times New Roman"/>
                <w:b w:val="0"/>
                <w:bCs/>
                <w:color w:val="auto"/>
                <w:lang w:val="en-US" w:eastAsia="zh-CN"/>
              </w:rPr>
              <w:t>门出口排出。根据类比调查，振动筛筛选出来的废石料约占石料原料用量的0.1%，项目废石料产生量为109.442t/a，固废代码：900-099-S59，有骨料供应商回收破碎后重</w:t>
            </w:r>
            <w:r>
              <w:rPr>
                <w:rFonts w:hint="eastAsia"/>
                <w:b w:val="0"/>
                <w:bCs/>
                <w:color w:val="auto"/>
              </w:rPr>
              <w:t>新利用不外排。</w:t>
            </w:r>
          </w:p>
          <w:p>
            <w:pPr>
              <w:pStyle w:val="60"/>
              <w:adjustRightInd w:val="0"/>
              <w:snapToGrid w:val="0"/>
              <w:spacing w:before="0" w:beforeLines="0" w:line="360" w:lineRule="auto"/>
              <w:ind w:firstLine="480" w:firstLineChars="200"/>
              <w:rPr>
                <w:rFonts w:hint="default" w:eastAsia="宋体"/>
                <w:b w:val="0"/>
                <w:bCs/>
                <w:color w:val="auto"/>
                <w:lang w:val="en-US" w:eastAsia="zh-CN"/>
              </w:rPr>
            </w:pPr>
            <w:r>
              <w:rPr>
                <w:rFonts w:hint="eastAsia"/>
                <w:b w:val="0"/>
                <w:bCs/>
                <w:color w:val="auto"/>
              </w:rPr>
              <w:t>（3）除尘器收集的粉尘</w:t>
            </w:r>
          </w:p>
          <w:p>
            <w:pPr>
              <w:pStyle w:val="60"/>
              <w:adjustRightInd w:val="0"/>
              <w:snapToGrid w:val="0"/>
              <w:spacing w:before="0" w:beforeLines="0" w:line="360" w:lineRule="auto"/>
              <w:ind w:firstLine="480" w:firstLineChars="200"/>
              <w:rPr>
                <w:b w:val="0"/>
                <w:bCs/>
                <w:color w:val="auto"/>
              </w:rPr>
            </w:pPr>
            <w:r>
              <w:rPr>
                <w:rFonts w:hint="eastAsia"/>
                <w:b w:val="0"/>
                <w:bCs/>
                <w:color w:val="auto"/>
              </w:rPr>
              <w:t>项目收集的粉尘量约为</w:t>
            </w:r>
            <w:r>
              <w:rPr>
                <w:rFonts w:hint="eastAsia"/>
                <w:b w:val="0"/>
                <w:bCs/>
                <w:color w:val="auto"/>
                <w:lang w:val="en-US" w:eastAsia="zh-CN"/>
              </w:rPr>
              <w:t>35.95</w:t>
            </w:r>
            <w:r>
              <w:rPr>
                <w:rFonts w:hint="eastAsia"/>
                <w:b w:val="0"/>
                <w:bCs/>
                <w:color w:val="auto"/>
              </w:rPr>
              <w:t>t/a，固废代码为900-001-S02</w:t>
            </w:r>
            <w:r>
              <w:rPr>
                <w:rFonts w:hint="eastAsia"/>
                <w:b w:val="0"/>
                <w:bCs/>
                <w:color w:val="auto"/>
                <w:lang w:eastAsia="zh-CN"/>
              </w:rPr>
              <w:t>，</w:t>
            </w:r>
            <w:r>
              <w:rPr>
                <w:rFonts w:hint="eastAsia"/>
                <w:b w:val="0"/>
                <w:bCs/>
                <w:color w:val="auto"/>
              </w:rPr>
              <w:t>作为原料回用于生产，不外排。</w:t>
            </w:r>
          </w:p>
          <w:p>
            <w:pPr>
              <w:pStyle w:val="60"/>
              <w:adjustRightInd w:val="0"/>
              <w:snapToGrid w:val="0"/>
              <w:spacing w:before="0" w:beforeLines="0" w:line="360" w:lineRule="auto"/>
              <w:ind w:firstLine="480" w:firstLineChars="200"/>
              <w:rPr>
                <w:b w:val="0"/>
                <w:bCs/>
                <w:color w:val="auto"/>
              </w:rPr>
            </w:pPr>
            <w:r>
              <w:rPr>
                <w:rFonts w:hint="eastAsia"/>
                <w:b w:val="0"/>
                <w:bCs/>
                <w:color w:val="auto"/>
              </w:rPr>
              <w:t>（4）滴漏沥青及</w:t>
            </w:r>
            <w:r>
              <w:rPr>
                <w:rFonts w:hint="eastAsia"/>
                <w:b w:val="0"/>
                <w:bCs/>
                <w:color w:val="auto"/>
                <w:lang w:eastAsia="zh-CN"/>
              </w:rPr>
              <w:t>拌和</w:t>
            </w:r>
            <w:r>
              <w:rPr>
                <w:rFonts w:hint="eastAsia"/>
                <w:b w:val="0"/>
                <w:bCs/>
                <w:color w:val="auto"/>
              </w:rPr>
              <w:t>残渣</w:t>
            </w:r>
          </w:p>
          <w:p>
            <w:pPr>
              <w:pStyle w:val="60"/>
              <w:adjustRightInd w:val="0"/>
              <w:snapToGrid w:val="0"/>
              <w:spacing w:before="0" w:beforeLines="0" w:line="360" w:lineRule="auto"/>
              <w:ind w:firstLine="480" w:firstLineChars="200"/>
              <w:rPr>
                <w:b w:val="0"/>
                <w:bCs/>
                <w:color w:val="auto"/>
              </w:rPr>
            </w:pPr>
            <w:r>
              <w:rPr>
                <w:rFonts w:hint="eastAsia"/>
                <w:b w:val="0"/>
                <w:bCs/>
                <w:color w:val="auto"/>
              </w:rPr>
              <w:t>当</w:t>
            </w:r>
            <w:r>
              <w:rPr>
                <w:b w:val="0"/>
                <w:bCs/>
                <w:color w:val="auto"/>
              </w:rPr>
              <w:t>散装石油沥青运输车将石油沥青输入厂区内石油沥青储罐以及沥青泵将石油沥青从储罐打入拌缸时，由于接口的密闭性问题，会滴漏少量沥青，同时拌缸也会产生少量的拌和残渣</w:t>
            </w:r>
            <w:r>
              <w:rPr>
                <w:rFonts w:ascii="Times New Roman" w:hAnsi="Times New Roman" w:eastAsia="宋体" w:cs="Times New Roman"/>
                <w:b w:val="0"/>
                <w:bCs/>
                <w:color w:val="auto"/>
              </w:rPr>
              <w:t>，滴漏沥青及拌和残渣年产生量约为0.1t/a，</w:t>
            </w:r>
            <w:r>
              <w:rPr>
                <w:rFonts w:hint="eastAsia" w:ascii="Times New Roman" w:hAnsi="Times New Roman" w:eastAsia="宋体" w:cs="Times New Roman"/>
                <w:b w:val="0"/>
                <w:bCs/>
                <w:color w:val="auto"/>
              </w:rPr>
              <w:t>固废代码：900-099-S59</w:t>
            </w:r>
            <w:r>
              <w:rPr>
                <w:rFonts w:ascii="Times New Roman" w:hAnsi="Times New Roman" w:eastAsia="宋体" w:cs="Times New Roman"/>
                <w:b w:val="0"/>
                <w:bCs/>
                <w:color w:val="auto"/>
              </w:rPr>
              <w:t>作为原料回用于生</w:t>
            </w:r>
            <w:r>
              <w:rPr>
                <w:b w:val="0"/>
                <w:bCs/>
                <w:color w:val="auto"/>
              </w:rPr>
              <w:t>产。</w:t>
            </w:r>
          </w:p>
          <w:p>
            <w:pPr>
              <w:pStyle w:val="60"/>
              <w:adjustRightInd w:val="0"/>
              <w:snapToGrid w:val="0"/>
              <w:spacing w:before="0" w:beforeLines="0" w:line="360" w:lineRule="auto"/>
              <w:ind w:firstLine="480" w:firstLineChars="200"/>
              <w:rPr>
                <w:b w:val="0"/>
                <w:bCs/>
                <w:color w:val="auto"/>
              </w:rPr>
            </w:pPr>
            <w:r>
              <w:rPr>
                <w:rFonts w:hint="eastAsia"/>
                <w:b w:val="0"/>
                <w:bCs/>
                <w:color w:val="auto"/>
              </w:rPr>
              <w:t>（5）废布袋（</w:t>
            </w:r>
            <w:r>
              <w:rPr>
                <w:rFonts w:hint="eastAsia"/>
                <w:b w:val="0"/>
                <w:bCs/>
                <w:color w:val="auto"/>
                <w:lang w:val="en-US" w:eastAsia="zh-CN"/>
              </w:rPr>
              <w:t>粉尘</w:t>
            </w:r>
            <w:r>
              <w:rPr>
                <w:rFonts w:hint="eastAsia"/>
                <w:b w:val="0"/>
                <w:bCs/>
                <w:color w:val="auto"/>
              </w:rPr>
              <w:t>）</w:t>
            </w:r>
          </w:p>
          <w:p>
            <w:pPr>
              <w:pStyle w:val="60"/>
              <w:adjustRightInd w:val="0"/>
              <w:snapToGrid w:val="0"/>
              <w:spacing w:before="0" w:beforeLines="0" w:line="360" w:lineRule="auto"/>
              <w:ind w:firstLine="480" w:firstLineChars="200"/>
              <w:rPr>
                <w:b w:val="0"/>
                <w:bCs/>
                <w:color w:val="auto"/>
              </w:rPr>
            </w:pPr>
            <w:r>
              <w:rPr>
                <w:rFonts w:hint="eastAsia"/>
                <w:b w:val="0"/>
                <w:bCs/>
                <w:color w:val="auto"/>
              </w:rPr>
              <w:t>本项目布袋除尘器布袋每5年更换一次，更换量为0.2t/5a，更换后由厂家回收。</w:t>
            </w:r>
          </w:p>
          <w:p>
            <w:pPr>
              <w:pStyle w:val="60"/>
              <w:adjustRightInd w:val="0"/>
              <w:snapToGrid w:val="0"/>
              <w:spacing w:before="0" w:beforeLines="0" w:line="360" w:lineRule="auto"/>
              <w:ind w:firstLine="480" w:firstLineChars="200"/>
              <w:rPr>
                <w:b w:val="0"/>
                <w:bCs/>
                <w:color w:val="auto"/>
              </w:rPr>
            </w:pPr>
            <w:r>
              <w:rPr>
                <w:rFonts w:hint="eastAsia"/>
                <w:b w:val="0"/>
                <w:bCs/>
                <w:color w:val="auto"/>
              </w:rPr>
              <w:t>（</w:t>
            </w:r>
            <w:r>
              <w:rPr>
                <w:rFonts w:hint="eastAsia"/>
                <w:b w:val="0"/>
                <w:bCs/>
                <w:color w:val="auto"/>
                <w:lang w:val="en-US" w:eastAsia="zh-CN"/>
              </w:rPr>
              <w:t>6</w:t>
            </w:r>
            <w:r>
              <w:rPr>
                <w:rFonts w:hint="eastAsia"/>
                <w:b w:val="0"/>
                <w:bCs/>
                <w:color w:val="auto"/>
              </w:rPr>
              <w:t>）废活性炭</w:t>
            </w:r>
          </w:p>
          <w:p>
            <w:pPr>
              <w:pStyle w:val="60"/>
              <w:adjustRightInd w:val="0"/>
              <w:snapToGrid w:val="0"/>
              <w:spacing w:before="0" w:beforeLines="0" w:line="360" w:lineRule="auto"/>
              <w:ind w:firstLine="480" w:firstLineChars="200"/>
              <w:rPr>
                <w:b w:val="0"/>
                <w:bCs/>
                <w:color w:val="auto"/>
              </w:rPr>
            </w:pPr>
            <w:r>
              <w:rPr>
                <w:rFonts w:hint="eastAsia"/>
                <w:b w:val="0"/>
                <w:bCs/>
                <w:color w:val="auto"/>
              </w:rPr>
              <w:t>本项目沥青站的活性炭净化装置每年更换活性炭4次，每次废活性炭产生量为0.5t，则项目废活性炭产生量约2t/a，属于国家危险废物名录中编号为HW49其他废物，应暂存在危险废物贮存点，定期交由有资质单位进行处置。</w:t>
            </w:r>
          </w:p>
          <w:p>
            <w:pPr>
              <w:pStyle w:val="60"/>
              <w:adjustRightInd w:val="0"/>
              <w:snapToGrid w:val="0"/>
              <w:spacing w:before="0" w:beforeLines="0" w:line="360" w:lineRule="auto"/>
              <w:ind w:firstLine="480" w:firstLineChars="200"/>
              <w:rPr>
                <w:b w:val="0"/>
                <w:bCs/>
                <w:color w:val="auto"/>
              </w:rPr>
            </w:pPr>
            <w:r>
              <w:rPr>
                <w:rFonts w:hint="eastAsia"/>
                <w:b w:val="0"/>
                <w:bCs/>
                <w:color w:val="auto"/>
              </w:rPr>
              <w:t>（</w:t>
            </w:r>
            <w:r>
              <w:rPr>
                <w:rFonts w:hint="eastAsia"/>
                <w:b w:val="0"/>
                <w:bCs/>
                <w:color w:val="auto"/>
                <w:lang w:val="en-US" w:eastAsia="zh-CN"/>
              </w:rPr>
              <w:t>7</w:t>
            </w:r>
            <w:r>
              <w:rPr>
                <w:rFonts w:hint="eastAsia"/>
                <w:b w:val="0"/>
                <w:bCs/>
                <w:color w:val="auto"/>
              </w:rPr>
              <w:t>）废导热油</w:t>
            </w:r>
          </w:p>
          <w:p>
            <w:pPr>
              <w:pStyle w:val="60"/>
              <w:adjustRightInd w:val="0"/>
              <w:snapToGrid w:val="0"/>
              <w:spacing w:before="0" w:beforeLines="0" w:line="360" w:lineRule="auto"/>
              <w:ind w:firstLine="480" w:firstLineChars="200"/>
              <w:rPr>
                <w:b w:val="0"/>
                <w:bCs/>
                <w:color w:val="auto"/>
              </w:rPr>
            </w:pPr>
            <w:r>
              <w:rPr>
                <w:rFonts w:hint="eastAsia"/>
                <w:b w:val="0"/>
                <w:bCs/>
                <w:color w:val="auto"/>
              </w:rPr>
              <w:t>本项目导热油炉中的导热油每5年更换一次，更换量为</w:t>
            </w:r>
            <w:r>
              <w:rPr>
                <w:rFonts w:hint="eastAsia"/>
                <w:b w:val="0"/>
                <w:bCs/>
                <w:color w:val="auto"/>
                <w:lang w:val="en-US" w:eastAsia="zh-CN"/>
              </w:rPr>
              <w:t>0.5</w:t>
            </w:r>
            <w:r>
              <w:rPr>
                <w:rFonts w:hint="eastAsia"/>
                <w:b w:val="0"/>
                <w:bCs/>
                <w:color w:val="auto"/>
              </w:rPr>
              <w:t>t，属于国家危险废物名录中编号为HW08其他废物，应暂存在危险废物贮存点，定期交由有资质单位进行处置。</w:t>
            </w:r>
          </w:p>
          <w:p>
            <w:pPr>
              <w:pStyle w:val="60"/>
              <w:adjustRightInd w:val="0"/>
              <w:snapToGrid w:val="0"/>
              <w:spacing w:before="0" w:beforeLines="0" w:line="360" w:lineRule="auto"/>
              <w:ind w:firstLine="480" w:firstLineChars="200"/>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（8）废布袋（沥青）</w:t>
            </w:r>
          </w:p>
          <w:p>
            <w:pPr>
              <w:pStyle w:val="60"/>
              <w:adjustRightInd w:val="0"/>
              <w:snapToGrid w:val="0"/>
              <w:spacing w:before="0" w:beforeLines="0" w:line="360" w:lineRule="auto"/>
              <w:ind w:firstLine="480" w:firstLineChars="200"/>
              <w:rPr>
                <w:b w:val="0"/>
                <w:bCs/>
                <w:color w:val="auto"/>
              </w:rPr>
            </w:pPr>
            <w:r>
              <w:rPr>
                <w:rFonts w:hint="eastAsia" w:ascii="Times New Roman" w:hAnsi="Times New Roman" w:eastAsia="宋体" w:cs="Times New Roman"/>
                <w:b w:val="0"/>
                <w:bCs/>
                <w:color w:val="auto"/>
                <w:lang w:val="en-US" w:eastAsia="zh-CN"/>
              </w:rPr>
              <w:t>本项目废布袋每5年更换一次，更换量为0.1t/a，属于</w:t>
            </w:r>
            <w:r>
              <w:rPr>
                <w:rFonts w:hint="eastAsia"/>
                <w:b w:val="0"/>
                <w:bCs/>
                <w:color w:val="auto"/>
              </w:rPr>
              <w:t>国家危险废物名录中编号为HW49其他废物，应暂存在危险废物贮存点，定期交由有资质单位进行处置。</w:t>
            </w:r>
          </w:p>
          <w:p>
            <w:pPr>
              <w:widowControl/>
              <w:spacing w:line="360" w:lineRule="auto"/>
              <w:ind w:firstLine="480" w:firstLineChars="200"/>
              <w:jc w:val="left"/>
              <w:rPr>
                <w:color w:val="auto"/>
              </w:rPr>
            </w:pPr>
            <w:r>
              <w:rPr>
                <w:rFonts w:hint="eastAsia"/>
                <w:bCs/>
                <w:color w:val="auto"/>
              </w:rPr>
              <w:t>（10）危险废物暂存及管理要求</w:t>
            </w:r>
          </w:p>
          <w:p>
            <w:pPr>
              <w:pStyle w:val="60"/>
              <w:adjustRightInd w:val="0"/>
              <w:snapToGrid w:val="0"/>
              <w:spacing w:before="0" w:beforeLines="0" w:line="360" w:lineRule="auto"/>
              <w:ind w:firstLine="480" w:firstLineChars="200"/>
              <w:rPr>
                <w:b w:val="0"/>
                <w:bCs/>
                <w:color w:val="auto"/>
              </w:rPr>
            </w:pPr>
            <w:r>
              <w:rPr>
                <w:rFonts w:hint="eastAsia"/>
                <w:b w:val="0"/>
                <w:bCs/>
                <w:color w:val="auto"/>
              </w:rPr>
              <w:t>本项目产生的废导热油、废活性炭</w:t>
            </w:r>
            <w:r>
              <w:rPr>
                <w:rFonts w:hint="eastAsia"/>
                <w:b w:val="0"/>
                <w:bCs/>
                <w:color w:val="auto"/>
                <w:lang w:eastAsia="zh-CN"/>
              </w:rPr>
              <w:t>、</w:t>
            </w:r>
            <w:r>
              <w:rPr>
                <w:rFonts w:hint="eastAsia"/>
                <w:b w:val="0"/>
                <w:bCs/>
                <w:color w:val="auto"/>
                <w:lang w:val="en-US" w:eastAsia="zh-CN"/>
              </w:rPr>
              <w:t>废布袋（沥青）</w:t>
            </w:r>
            <w:r>
              <w:rPr>
                <w:rFonts w:hint="eastAsia"/>
                <w:b w:val="0"/>
                <w:bCs/>
                <w:color w:val="auto"/>
              </w:rPr>
              <w:t>暂存在厂区内的</w:t>
            </w:r>
            <w:r>
              <w:rPr>
                <w:rFonts w:hint="eastAsia"/>
                <w:b w:val="0"/>
                <w:bCs/>
                <w:color w:val="auto"/>
                <w:lang w:eastAsia="zh-CN"/>
              </w:rPr>
              <w:t>危险废物</w:t>
            </w:r>
            <w:r>
              <w:rPr>
                <w:rFonts w:hint="eastAsia"/>
                <w:b w:val="0"/>
                <w:bCs/>
                <w:color w:val="auto"/>
              </w:rPr>
              <w:t>贮存点，委托有资质单位进行处理，项目危险废物贮存点位于废料仓内，面积50</w:t>
            </w:r>
            <w:r>
              <w:rPr>
                <w:b w:val="0"/>
                <w:bCs/>
                <w:color w:val="auto"/>
              </w:rPr>
              <w:t>m</w:t>
            </w:r>
            <w:r>
              <w:rPr>
                <w:b w:val="0"/>
                <w:bCs/>
                <w:color w:val="auto"/>
                <w:vertAlign w:val="superscript"/>
              </w:rPr>
              <w:t>2</w:t>
            </w:r>
            <w:r>
              <w:rPr>
                <w:rFonts w:hint="eastAsia"/>
                <w:b w:val="0"/>
                <w:bCs/>
                <w:color w:val="auto"/>
              </w:rPr>
              <w:t>，地面及裙脚采用</w:t>
            </w:r>
            <w:r>
              <w:rPr>
                <w:b w:val="0"/>
                <w:bCs/>
                <w:color w:val="auto"/>
              </w:rPr>
              <w:t>2mm</w:t>
            </w:r>
            <w:r>
              <w:rPr>
                <w:rFonts w:hint="eastAsia"/>
                <w:b w:val="0"/>
                <w:bCs/>
                <w:color w:val="auto"/>
              </w:rPr>
              <w:t>厚的高密度聚乙烯</w:t>
            </w:r>
            <w:r>
              <w:rPr>
                <w:b w:val="0"/>
                <w:bCs/>
                <w:color w:val="auto"/>
              </w:rPr>
              <w:t>+</w:t>
            </w:r>
            <w:r>
              <w:rPr>
                <w:rFonts w:hint="eastAsia"/>
                <w:b w:val="0"/>
                <w:bCs/>
                <w:color w:val="auto"/>
              </w:rPr>
              <w:t>防渗混凝土进行防渗处理，渗透系数</w:t>
            </w:r>
            <w:r>
              <w:rPr>
                <w:b w:val="0"/>
                <w:bCs/>
                <w:color w:val="auto"/>
              </w:rPr>
              <w:t>≤10</w:t>
            </w:r>
            <w:r>
              <w:rPr>
                <w:b w:val="0"/>
                <w:bCs/>
                <w:color w:val="auto"/>
                <w:vertAlign w:val="superscript"/>
              </w:rPr>
              <w:t>-10</w:t>
            </w:r>
            <w:r>
              <w:rPr>
                <w:b w:val="0"/>
                <w:bCs/>
                <w:color w:val="auto"/>
              </w:rPr>
              <w:t>cm/s</w:t>
            </w:r>
            <w:r>
              <w:rPr>
                <w:rFonts w:hint="eastAsia"/>
                <w:b w:val="0"/>
                <w:bCs/>
                <w:color w:val="auto"/>
              </w:rPr>
              <w:t>，内部采取分区隔断，贮存点设置满足《危险废物贮存污染控制标准》（</w:t>
            </w:r>
            <w:r>
              <w:rPr>
                <w:b w:val="0"/>
                <w:bCs/>
                <w:color w:val="auto"/>
              </w:rPr>
              <w:t>GB18597-2023</w:t>
            </w:r>
            <w:r>
              <w:rPr>
                <w:rFonts w:hint="eastAsia"/>
                <w:b w:val="0"/>
                <w:bCs/>
                <w:color w:val="auto"/>
              </w:rPr>
              <w:t>）的要求。本项目各种危险废物在储存过程中，采用专用的容器存储，容器外侧粘贴符合标准要求的醒目标签。</w:t>
            </w:r>
          </w:p>
          <w:p>
            <w:pPr>
              <w:pStyle w:val="60"/>
              <w:adjustRightInd w:val="0"/>
              <w:snapToGrid w:val="0"/>
              <w:spacing w:before="0" w:beforeLines="0" w:line="360" w:lineRule="auto"/>
              <w:ind w:firstLine="480" w:firstLineChars="200"/>
              <w:rPr>
                <w:b w:val="0"/>
                <w:bCs/>
                <w:color w:val="auto"/>
              </w:rPr>
            </w:pPr>
            <w:r>
              <w:rPr>
                <w:rFonts w:hint="eastAsia"/>
                <w:b w:val="0"/>
                <w:bCs/>
                <w:color w:val="auto"/>
              </w:rPr>
              <w:t>项目固废产生情况详见表4-12。</w:t>
            </w:r>
          </w:p>
          <w:p>
            <w:pPr>
              <w:pStyle w:val="52"/>
              <w:rPr>
                <w:rFonts w:eastAsia="宋体"/>
                <w:b/>
                <w:color w:val="auto"/>
              </w:rPr>
            </w:pPr>
            <w:r>
              <w:rPr>
                <w:rFonts w:eastAsia="宋体"/>
                <w:b/>
                <w:color w:val="auto"/>
              </w:rPr>
              <w:t>表4-</w:t>
            </w:r>
            <w:r>
              <w:rPr>
                <w:rFonts w:hint="eastAsia" w:eastAsia="宋体"/>
                <w:b/>
                <w:color w:val="auto"/>
              </w:rPr>
              <w:t>1</w:t>
            </w:r>
            <w:r>
              <w:rPr>
                <w:rFonts w:hint="eastAsia" w:eastAsia="宋体"/>
                <w:b/>
                <w:color w:val="auto"/>
                <w:lang w:val="en-US" w:eastAsia="zh-CN"/>
              </w:rPr>
              <w:t>2</w:t>
            </w:r>
            <w:r>
              <w:rPr>
                <w:rFonts w:eastAsia="宋体"/>
                <w:b/>
                <w:color w:val="auto"/>
              </w:rPr>
              <w:t xml:space="preserve">  本项目固废汇总表</w:t>
            </w:r>
          </w:p>
          <w:tbl>
            <w:tblPr>
              <w:tblStyle w:val="30"/>
              <w:tblW w:w="843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784"/>
              <w:gridCol w:w="1051"/>
              <w:gridCol w:w="990"/>
              <w:gridCol w:w="1401"/>
              <w:gridCol w:w="913"/>
              <w:gridCol w:w="1419"/>
              <w:gridCol w:w="881"/>
              <w:gridCol w:w="10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283" w:hRule="atLeast"/>
                <w:jc w:val="center"/>
              </w:trPr>
              <w:tc>
                <w:tcPr>
                  <w:tcW w:w="784" w:type="dxa"/>
                  <w:tcBorders>
                    <w:tl2br w:val="nil"/>
                    <w:tr2bl w:val="nil"/>
                  </w:tcBorders>
                  <w:vAlign w:val="center"/>
                </w:tcPr>
                <w:p>
                  <w:pPr>
                    <w:pStyle w:val="54"/>
                    <w:rPr>
                      <w:b/>
                      <w:color w:val="auto"/>
                      <w:sz w:val="21"/>
                      <w:szCs w:val="21"/>
                    </w:rPr>
                  </w:pPr>
                  <w:bookmarkStart w:id="32" w:name="_Hlk523068308"/>
                  <w:r>
                    <w:rPr>
                      <w:b/>
                      <w:color w:val="auto"/>
                      <w:sz w:val="21"/>
                      <w:szCs w:val="21"/>
                    </w:rPr>
                    <w:t>工序</w:t>
                  </w:r>
                </w:p>
              </w:tc>
              <w:tc>
                <w:tcPr>
                  <w:tcW w:w="1051" w:type="dxa"/>
                  <w:tcBorders>
                    <w:tl2br w:val="nil"/>
                    <w:tr2bl w:val="nil"/>
                  </w:tcBorders>
                  <w:vAlign w:val="center"/>
                </w:tcPr>
                <w:p>
                  <w:pPr>
                    <w:pStyle w:val="54"/>
                    <w:rPr>
                      <w:b/>
                      <w:color w:val="auto"/>
                      <w:sz w:val="21"/>
                      <w:szCs w:val="21"/>
                    </w:rPr>
                  </w:pPr>
                  <w:r>
                    <w:rPr>
                      <w:b/>
                      <w:color w:val="auto"/>
                      <w:sz w:val="21"/>
                      <w:szCs w:val="21"/>
                    </w:rPr>
                    <w:t>固体废物名称</w:t>
                  </w:r>
                </w:p>
              </w:tc>
              <w:tc>
                <w:tcPr>
                  <w:tcW w:w="990" w:type="dxa"/>
                  <w:tcBorders>
                    <w:tl2br w:val="nil"/>
                    <w:tr2bl w:val="nil"/>
                  </w:tcBorders>
                  <w:vAlign w:val="center"/>
                </w:tcPr>
                <w:p>
                  <w:pPr>
                    <w:pStyle w:val="54"/>
                    <w:rPr>
                      <w:b/>
                      <w:color w:val="auto"/>
                      <w:sz w:val="21"/>
                      <w:szCs w:val="21"/>
                    </w:rPr>
                  </w:pPr>
                  <w:r>
                    <w:rPr>
                      <w:b/>
                      <w:color w:val="auto"/>
                      <w:sz w:val="21"/>
                      <w:szCs w:val="21"/>
                    </w:rPr>
                    <w:t>固废</w:t>
                  </w:r>
                </w:p>
                <w:p>
                  <w:pPr>
                    <w:pStyle w:val="54"/>
                    <w:rPr>
                      <w:b/>
                      <w:color w:val="auto"/>
                      <w:sz w:val="21"/>
                      <w:szCs w:val="21"/>
                    </w:rPr>
                  </w:pPr>
                  <w:r>
                    <w:rPr>
                      <w:b/>
                      <w:color w:val="auto"/>
                      <w:sz w:val="21"/>
                      <w:szCs w:val="21"/>
                    </w:rPr>
                    <w:t>属性</w:t>
                  </w:r>
                </w:p>
              </w:tc>
              <w:tc>
                <w:tcPr>
                  <w:tcW w:w="1401" w:type="dxa"/>
                  <w:tcBorders>
                    <w:tl2br w:val="nil"/>
                    <w:tr2bl w:val="nil"/>
                  </w:tcBorders>
                  <w:vAlign w:val="center"/>
                </w:tcPr>
                <w:p>
                  <w:pPr>
                    <w:pStyle w:val="54"/>
                    <w:rPr>
                      <w:b/>
                      <w:color w:val="auto"/>
                      <w:sz w:val="21"/>
                      <w:szCs w:val="21"/>
                    </w:rPr>
                  </w:pPr>
                  <w:r>
                    <w:rPr>
                      <w:b/>
                      <w:color w:val="auto"/>
                      <w:sz w:val="21"/>
                      <w:szCs w:val="21"/>
                    </w:rPr>
                    <w:t>固废代码</w:t>
                  </w:r>
                </w:p>
              </w:tc>
              <w:tc>
                <w:tcPr>
                  <w:tcW w:w="913" w:type="dxa"/>
                  <w:tcBorders>
                    <w:tl2br w:val="nil"/>
                    <w:tr2bl w:val="nil"/>
                  </w:tcBorders>
                  <w:vAlign w:val="center"/>
                </w:tcPr>
                <w:p>
                  <w:pPr>
                    <w:pStyle w:val="54"/>
                    <w:rPr>
                      <w:b/>
                      <w:color w:val="auto"/>
                      <w:sz w:val="21"/>
                      <w:szCs w:val="21"/>
                    </w:rPr>
                  </w:pPr>
                  <w:r>
                    <w:rPr>
                      <w:b/>
                      <w:color w:val="auto"/>
                      <w:sz w:val="21"/>
                      <w:szCs w:val="21"/>
                    </w:rPr>
                    <w:t>产生量</w:t>
                  </w:r>
                </w:p>
                <w:p>
                  <w:pPr>
                    <w:pStyle w:val="54"/>
                    <w:rPr>
                      <w:b/>
                      <w:color w:val="auto"/>
                      <w:sz w:val="21"/>
                      <w:szCs w:val="21"/>
                    </w:rPr>
                  </w:pPr>
                  <w:r>
                    <w:rPr>
                      <w:rFonts w:hint="eastAsia"/>
                      <w:b/>
                      <w:color w:val="auto"/>
                      <w:sz w:val="21"/>
                      <w:szCs w:val="21"/>
                      <w:lang w:eastAsia="zh-CN"/>
                    </w:rPr>
                    <w:t>(</w:t>
                  </w:r>
                  <w:r>
                    <w:rPr>
                      <w:b/>
                      <w:color w:val="auto"/>
                      <w:sz w:val="21"/>
                      <w:szCs w:val="21"/>
                    </w:rPr>
                    <w:t>t/a</w:t>
                  </w:r>
                  <w:r>
                    <w:rPr>
                      <w:rFonts w:hint="eastAsia"/>
                      <w:b/>
                      <w:color w:val="auto"/>
                      <w:sz w:val="21"/>
                      <w:szCs w:val="21"/>
                      <w:lang w:eastAsia="zh-CN"/>
                    </w:rPr>
                    <w:t>)</w:t>
                  </w:r>
                </w:p>
              </w:tc>
              <w:tc>
                <w:tcPr>
                  <w:tcW w:w="1419" w:type="dxa"/>
                  <w:tcBorders>
                    <w:tl2br w:val="nil"/>
                    <w:tr2bl w:val="nil"/>
                  </w:tcBorders>
                  <w:vAlign w:val="center"/>
                </w:tcPr>
                <w:p>
                  <w:pPr>
                    <w:pStyle w:val="54"/>
                    <w:rPr>
                      <w:b/>
                      <w:color w:val="auto"/>
                      <w:sz w:val="21"/>
                      <w:szCs w:val="21"/>
                    </w:rPr>
                  </w:pPr>
                  <w:r>
                    <w:rPr>
                      <w:b/>
                      <w:color w:val="auto"/>
                      <w:sz w:val="21"/>
                      <w:szCs w:val="21"/>
                    </w:rPr>
                    <w:t>处置措施</w:t>
                  </w:r>
                </w:p>
              </w:tc>
              <w:tc>
                <w:tcPr>
                  <w:tcW w:w="881" w:type="dxa"/>
                  <w:tcBorders>
                    <w:tl2br w:val="nil"/>
                    <w:tr2bl w:val="nil"/>
                  </w:tcBorders>
                  <w:vAlign w:val="center"/>
                </w:tcPr>
                <w:p>
                  <w:pPr>
                    <w:pStyle w:val="54"/>
                    <w:rPr>
                      <w:b/>
                      <w:color w:val="auto"/>
                      <w:sz w:val="21"/>
                      <w:szCs w:val="21"/>
                    </w:rPr>
                  </w:pPr>
                  <w:r>
                    <w:rPr>
                      <w:b/>
                      <w:color w:val="auto"/>
                      <w:sz w:val="21"/>
                      <w:szCs w:val="21"/>
                    </w:rPr>
                    <w:t>处置量（t/a）</w:t>
                  </w:r>
                </w:p>
              </w:tc>
              <w:tc>
                <w:tcPr>
                  <w:tcW w:w="1000" w:type="dxa"/>
                  <w:tcBorders>
                    <w:tl2br w:val="nil"/>
                    <w:tr2bl w:val="nil"/>
                  </w:tcBorders>
                  <w:vAlign w:val="center"/>
                </w:tcPr>
                <w:p>
                  <w:pPr>
                    <w:pStyle w:val="54"/>
                    <w:rPr>
                      <w:b/>
                      <w:color w:val="auto"/>
                      <w:sz w:val="21"/>
                      <w:szCs w:val="21"/>
                    </w:rPr>
                  </w:pPr>
                  <w:r>
                    <w:rPr>
                      <w:b/>
                      <w:color w:val="auto"/>
                      <w:sz w:val="21"/>
                      <w:szCs w:val="21"/>
                    </w:rPr>
                    <w:t>最终去向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283" w:hRule="atLeast"/>
                <w:jc w:val="center"/>
              </w:trPr>
              <w:tc>
                <w:tcPr>
                  <w:tcW w:w="784" w:type="dxa"/>
                  <w:tcBorders>
                    <w:tl2br w:val="nil"/>
                    <w:tr2bl w:val="nil"/>
                  </w:tcBorders>
                  <w:vAlign w:val="center"/>
                </w:tcPr>
                <w:p>
                  <w:pPr>
                    <w:pStyle w:val="54"/>
                    <w:rPr>
                      <w:color w:val="auto"/>
                      <w:sz w:val="21"/>
                      <w:szCs w:val="21"/>
                    </w:rPr>
                  </w:pPr>
                  <w:r>
                    <w:rPr>
                      <w:rFonts w:hint="eastAsia"/>
                      <w:color w:val="auto"/>
                      <w:sz w:val="21"/>
                      <w:szCs w:val="21"/>
                    </w:rPr>
                    <w:t>生活</w:t>
                  </w:r>
                </w:p>
              </w:tc>
              <w:tc>
                <w:tcPr>
                  <w:tcW w:w="1051" w:type="dxa"/>
                  <w:tcBorders>
                    <w:tl2br w:val="nil"/>
                    <w:tr2bl w:val="nil"/>
                  </w:tcBorders>
                  <w:vAlign w:val="center"/>
                </w:tcPr>
                <w:p>
                  <w:pPr>
                    <w:pStyle w:val="54"/>
                    <w:rPr>
                      <w:color w:val="auto"/>
                      <w:sz w:val="21"/>
                      <w:szCs w:val="21"/>
                    </w:rPr>
                  </w:pPr>
                  <w:r>
                    <w:rPr>
                      <w:rFonts w:hint="eastAsia"/>
                      <w:color w:val="auto"/>
                      <w:sz w:val="21"/>
                      <w:szCs w:val="21"/>
                    </w:rPr>
                    <w:t>生活垃圾</w:t>
                  </w:r>
                </w:p>
              </w:tc>
              <w:tc>
                <w:tcPr>
                  <w:tcW w:w="990" w:type="dxa"/>
                  <w:tcBorders>
                    <w:tl2br w:val="nil"/>
                    <w:tr2bl w:val="nil"/>
                  </w:tcBorders>
                  <w:vAlign w:val="center"/>
                </w:tcPr>
                <w:p>
                  <w:pPr>
                    <w:pStyle w:val="54"/>
                    <w:rPr>
                      <w:color w:val="auto"/>
                      <w:sz w:val="21"/>
                      <w:szCs w:val="21"/>
                    </w:rPr>
                  </w:pPr>
                  <w:r>
                    <w:rPr>
                      <w:rFonts w:hint="eastAsia"/>
                      <w:color w:val="auto"/>
                      <w:sz w:val="21"/>
                      <w:szCs w:val="21"/>
                    </w:rPr>
                    <w:t>生活垃圾</w:t>
                  </w:r>
                </w:p>
              </w:tc>
              <w:tc>
                <w:tcPr>
                  <w:tcW w:w="1401" w:type="dxa"/>
                  <w:tcBorders>
                    <w:tl2br w:val="nil"/>
                    <w:tr2bl w:val="nil"/>
                  </w:tcBorders>
                  <w:vAlign w:val="center"/>
                </w:tcPr>
                <w:p>
                  <w:pPr>
                    <w:pStyle w:val="54"/>
                    <w:rPr>
                      <w:color w:val="auto"/>
                      <w:sz w:val="21"/>
                      <w:szCs w:val="21"/>
                    </w:rPr>
                  </w:pPr>
                  <w:r>
                    <w:rPr>
                      <w:rFonts w:hint="eastAsia"/>
                      <w:color w:val="auto"/>
                      <w:sz w:val="21"/>
                      <w:szCs w:val="21"/>
                    </w:rPr>
                    <w:t>900-099-S64</w:t>
                  </w:r>
                </w:p>
              </w:tc>
              <w:tc>
                <w:tcPr>
                  <w:tcW w:w="913"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0.27</w:t>
                  </w:r>
                </w:p>
              </w:tc>
              <w:tc>
                <w:tcPr>
                  <w:tcW w:w="1419" w:type="dxa"/>
                  <w:tcBorders>
                    <w:tl2br w:val="nil"/>
                    <w:tr2bl w:val="nil"/>
                  </w:tcBorders>
                  <w:vAlign w:val="center"/>
                </w:tcPr>
                <w:p>
                  <w:pPr>
                    <w:pStyle w:val="54"/>
                    <w:rPr>
                      <w:color w:val="auto"/>
                      <w:sz w:val="21"/>
                      <w:szCs w:val="21"/>
                    </w:rPr>
                  </w:pPr>
                  <w:r>
                    <w:rPr>
                      <w:rFonts w:hint="eastAsia"/>
                      <w:color w:val="auto"/>
                      <w:sz w:val="21"/>
                      <w:szCs w:val="21"/>
                    </w:rPr>
                    <w:t>由市政环卫部门统一处理</w:t>
                  </w:r>
                </w:p>
              </w:tc>
              <w:tc>
                <w:tcPr>
                  <w:tcW w:w="881"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0.27</w:t>
                  </w:r>
                </w:p>
              </w:tc>
              <w:tc>
                <w:tcPr>
                  <w:tcW w:w="1000" w:type="dxa"/>
                  <w:tcBorders>
                    <w:tl2br w:val="nil"/>
                    <w:tr2bl w:val="nil"/>
                  </w:tcBorders>
                  <w:vAlign w:val="center"/>
                </w:tcPr>
                <w:p>
                  <w:pPr>
                    <w:pStyle w:val="54"/>
                    <w:rPr>
                      <w:color w:val="auto"/>
                      <w:sz w:val="21"/>
                      <w:szCs w:val="21"/>
                    </w:rPr>
                  </w:pPr>
                  <w:r>
                    <w:rPr>
                      <w:rFonts w:hint="eastAsia"/>
                      <w:color w:val="auto"/>
                      <w:sz w:val="21"/>
                      <w:szCs w:val="21"/>
                    </w:rPr>
                    <w:t>市政部门统一收集处置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283" w:hRule="atLeast"/>
                <w:jc w:val="center"/>
              </w:trPr>
              <w:tc>
                <w:tcPr>
                  <w:tcW w:w="784" w:type="dxa"/>
                  <w:vMerge w:val="restart"/>
                  <w:tcBorders>
                    <w:tl2br w:val="nil"/>
                    <w:tr2bl w:val="nil"/>
                  </w:tcBorders>
                  <w:vAlign w:val="center"/>
                </w:tcPr>
                <w:p>
                  <w:pPr>
                    <w:pStyle w:val="54"/>
                    <w:rPr>
                      <w:color w:val="auto"/>
                      <w:sz w:val="21"/>
                      <w:szCs w:val="21"/>
                    </w:rPr>
                  </w:pPr>
                  <w:r>
                    <w:rPr>
                      <w:rFonts w:hint="eastAsia"/>
                      <w:color w:val="auto"/>
                      <w:sz w:val="21"/>
                      <w:szCs w:val="21"/>
                    </w:rPr>
                    <w:t>生产废物</w:t>
                  </w:r>
                </w:p>
              </w:tc>
              <w:tc>
                <w:tcPr>
                  <w:tcW w:w="1051" w:type="dxa"/>
                  <w:tcBorders>
                    <w:tl2br w:val="nil"/>
                    <w:tr2bl w:val="nil"/>
                  </w:tcBorders>
                  <w:vAlign w:val="center"/>
                </w:tcPr>
                <w:p>
                  <w:pPr>
                    <w:pStyle w:val="54"/>
                    <w:rPr>
                      <w:color w:val="auto"/>
                      <w:sz w:val="21"/>
                      <w:szCs w:val="21"/>
                    </w:rPr>
                  </w:pPr>
                  <w:r>
                    <w:rPr>
                      <w:rFonts w:hint="eastAsia"/>
                      <w:color w:val="auto"/>
                      <w:sz w:val="21"/>
                      <w:szCs w:val="21"/>
                    </w:rPr>
                    <w:t>废石料</w:t>
                  </w:r>
                </w:p>
              </w:tc>
              <w:tc>
                <w:tcPr>
                  <w:tcW w:w="990" w:type="dxa"/>
                  <w:tcBorders>
                    <w:tl2br w:val="nil"/>
                    <w:tr2bl w:val="nil"/>
                  </w:tcBorders>
                  <w:vAlign w:val="center"/>
                </w:tcPr>
                <w:p>
                  <w:pPr>
                    <w:pStyle w:val="54"/>
                    <w:rPr>
                      <w:color w:val="auto"/>
                      <w:sz w:val="21"/>
                      <w:szCs w:val="21"/>
                    </w:rPr>
                  </w:pPr>
                  <w:r>
                    <w:rPr>
                      <w:rFonts w:hint="eastAsia"/>
                      <w:color w:val="auto"/>
                      <w:sz w:val="21"/>
                      <w:szCs w:val="21"/>
                    </w:rPr>
                    <w:t>一般工业固废</w:t>
                  </w:r>
                </w:p>
              </w:tc>
              <w:tc>
                <w:tcPr>
                  <w:tcW w:w="1401" w:type="dxa"/>
                  <w:tcBorders>
                    <w:tl2br w:val="nil"/>
                    <w:tr2bl w:val="nil"/>
                  </w:tcBorders>
                  <w:vAlign w:val="center"/>
                </w:tcPr>
                <w:p>
                  <w:pPr>
                    <w:pStyle w:val="54"/>
                    <w:rPr>
                      <w:color w:val="auto"/>
                      <w:sz w:val="21"/>
                      <w:szCs w:val="21"/>
                    </w:rPr>
                  </w:pPr>
                  <w:r>
                    <w:rPr>
                      <w:rFonts w:hint="eastAsia"/>
                      <w:color w:val="auto"/>
                      <w:sz w:val="21"/>
                      <w:szCs w:val="21"/>
                    </w:rPr>
                    <w:t>900-099-S59</w:t>
                  </w:r>
                </w:p>
              </w:tc>
              <w:tc>
                <w:tcPr>
                  <w:tcW w:w="913"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109.442</w:t>
                  </w:r>
                </w:p>
              </w:tc>
              <w:tc>
                <w:tcPr>
                  <w:tcW w:w="1419" w:type="dxa"/>
                  <w:tcBorders>
                    <w:tl2br w:val="nil"/>
                    <w:tr2bl w:val="nil"/>
                  </w:tcBorders>
                  <w:vAlign w:val="center"/>
                </w:tcPr>
                <w:p>
                  <w:pPr>
                    <w:pStyle w:val="54"/>
                    <w:rPr>
                      <w:color w:val="auto"/>
                      <w:sz w:val="21"/>
                      <w:szCs w:val="21"/>
                    </w:rPr>
                  </w:pPr>
                  <w:r>
                    <w:rPr>
                      <w:rFonts w:hint="eastAsia"/>
                      <w:color w:val="auto"/>
                      <w:sz w:val="21"/>
                      <w:szCs w:val="21"/>
                    </w:rPr>
                    <w:t>厂家回收后更换</w:t>
                  </w:r>
                </w:p>
              </w:tc>
              <w:tc>
                <w:tcPr>
                  <w:tcW w:w="881"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109.442</w:t>
                  </w:r>
                </w:p>
              </w:tc>
              <w:tc>
                <w:tcPr>
                  <w:tcW w:w="1000" w:type="dxa"/>
                  <w:tcBorders>
                    <w:tl2br w:val="nil"/>
                    <w:tr2bl w:val="nil"/>
                  </w:tcBorders>
                  <w:vAlign w:val="center"/>
                </w:tcPr>
                <w:p>
                  <w:pPr>
                    <w:pStyle w:val="54"/>
                    <w:rPr>
                      <w:color w:val="auto"/>
                      <w:sz w:val="21"/>
                      <w:szCs w:val="21"/>
                    </w:rPr>
                  </w:pPr>
                  <w:r>
                    <w:rPr>
                      <w:rFonts w:hint="eastAsia"/>
                      <w:color w:val="auto"/>
                      <w:sz w:val="21"/>
                      <w:szCs w:val="21"/>
                    </w:rPr>
                    <w:t>厂家回收后更换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283" w:hRule="atLeast"/>
                <w:jc w:val="center"/>
              </w:trPr>
              <w:tc>
                <w:tcPr>
                  <w:tcW w:w="784" w:type="dxa"/>
                  <w:vMerge w:val="continue"/>
                  <w:tcBorders>
                    <w:tl2br w:val="nil"/>
                    <w:tr2bl w:val="nil"/>
                  </w:tcBorders>
                  <w:vAlign w:val="center"/>
                </w:tcPr>
                <w:p>
                  <w:pPr>
                    <w:pStyle w:val="54"/>
                    <w:rPr>
                      <w:color w:val="auto"/>
                      <w:sz w:val="21"/>
                      <w:szCs w:val="21"/>
                    </w:rPr>
                  </w:pPr>
                </w:p>
              </w:tc>
              <w:tc>
                <w:tcPr>
                  <w:tcW w:w="1051" w:type="dxa"/>
                  <w:tcBorders>
                    <w:tl2br w:val="nil"/>
                    <w:tr2bl w:val="nil"/>
                  </w:tcBorders>
                  <w:vAlign w:val="center"/>
                </w:tcPr>
                <w:p>
                  <w:pPr>
                    <w:pStyle w:val="54"/>
                    <w:rPr>
                      <w:color w:val="auto"/>
                      <w:sz w:val="21"/>
                      <w:szCs w:val="21"/>
                    </w:rPr>
                  </w:pPr>
                  <w:r>
                    <w:rPr>
                      <w:rFonts w:hint="eastAsia"/>
                      <w:color w:val="auto"/>
                      <w:sz w:val="21"/>
                      <w:szCs w:val="21"/>
                    </w:rPr>
                    <w:t>除尘器收集粉尘</w:t>
                  </w:r>
                </w:p>
              </w:tc>
              <w:tc>
                <w:tcPr>
                  <w:tcW w:w="990" w:type="dxa"/>
                  <w:tcBorders>
                    <w:tl2br w:val="nil"/>
                    <w:tr2bl w:val="nil"/>
                  </w:tcBorders>
                  <w:vAlign w:val="center"/>
                </w:tcPr>
                <w:p>
                  <w:pPr>
                    <w:pStyle w:val="54"/>
                    <w:rPr>
                      <w:color w:val="auto"/>
                      <w:sz w:val="21"/>
                      <w:szCs w:val="21"/>
                    </w:rPr>
                  </w:pPr>
                  <w:r>
                    <w:rPr>
                      <w:rFonts w:hint="eastAsia"/>
                      <w:color w:val="auto"/>
                      <w:sz w:val="21"/>
                      <w:szCs w:val="21"/>
                    </w:rPr>
                    <w:t>一般工业固废</w:t>
                  </w:r>
                </w:p>
              </w:tc>
              <w:tc>
                <w:tcPr>
                  <w:tcW w:w="1401" w:type="dxa"/>
                  <w:tcBorders>
                    <w:tl2br w:val="nil"/>
                    <w:tr2bl w:val="nil"/>
                  </w:tcBorders>
                  <w:vAlign w:val="center"/>
                </w:tcPr>
                <w:p>
                  <w:pPr>
                    <w:pStyle w:val="54"/>
                    <w:rPr>
                      <w:color w:val="auto"/>
                      <w:sz w:val="21"/>
                      <w:szCs w:val="21"/>
                    </w:rPr>
                  </w:pPr>
                  <w:r>
                    <w:rPr>
                      <w:rFonts w:hint="eastAsia"/>
                      <w:color w:val="auto"/>
                      <w:sz w:val="21"/>
                      <w:szCs w:val="21"/>
                    </w:rPr>
                    <w:t>900-099-S59</w:t>
                  </w:r>
                </w:p>
              </w:tc>
              <w:tc>
                <w:tcPr>
                  <w:tcW w:w="913"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35.95</w:t>
                  </w:r>
                </w:p>
              </w:tc>
              <w:tc>
                <w:tcPr>
                  <w:tcW w:w="1419" w:type="dxa"/>
                  <w:tcBorders>
                    <w:tl2br w:val="nil"/>
                    <w:tr2bl w:val="nil"/>
                  </w:tcBorders>
                  <w:vAlign w:val="center"/>
                </w:tcPr>
                <w:p>
                  <w:pPr>
                    <w:pStyle w:val="54"/>
                    <w:rPr>
                      <w:color w:val="auto"/>
                      <w:sz w:val="21"/>
                      <w:szCs w:val="21"/>
                    </w:rPr>
                  </w:pPr>
                  <w:r>
                    <w:rPr>
                      <w:rFonts w:hint="eastAsia"/>
                      <w:color w:val="auto"/>
                      <w:sz w:val="21"/>
                      <w:szCs w:val="21"/>
                    </w:rPr>
                    <w:t>回用于生产</w:t>
                  </w:r>
                </w:p>
              </w:tc>
              <w:tc>
                <w:tcPr>
                  <w:tcW w:w="881"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35.95</w:t>
                  </w:r>
                </w:p>
              </w:tc>
              <w:tc>
                <w:tcPr>
                  <w:tcW w:w="1000" w:type="dxa"/>
                  <w:vMerge w:val="restart"/>
                  <w:tcBorders>
                    <w:tl2br w:val="nil"/>
                    <w:tr2bl w:val="nil"/>
                  </w:tcBorders>
                  <w:vAlign w:val="center"/>
                </w:tcPr>
                <w:p>
                  <w:pPr>
                    <w:pStyle w:val="54"/>
                    <w:rPr>
                      <w:color w:val="auto"/>
                      <w:sz w:val="21"/>
                      <w:szCs w:val="21"/>
                    </w:rPr>
                  </w:pPr>
                  <w:r>
                    <w:rPr>
                      <w:rFonts w:hint="eastAsia"/>
                      <w:color w:val="auto"/>
                      <w:sz w:val="21"/>
                      <w:szCs w:val="21"/>
                    </w:rPr>
                    <w:t>生产工序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283" w:hRule="atLeast"/>
                <w:jc w:val="center"/>
              </w:trPr>
              <w:tc>
                <w:tcPr>
                  <w:tcW w:w="784" w:type="dxa"/>
                  <w:vMerge w:val="continue"/>
                  <w:tcBorders>
                    <w:tl2br w:val="nil"/>
                    <w:tr2bl w:val="nil"/>
                  </w:tcBorders>
                  <w:vAlign w:val="center"/>
                </w:tcPr>
                <w:p>
                  <w:pPr>
                    <w:pStyle w:val="54"/>
                    <w:rPr>
                      <w:color w:val="auto"/>
                      <w:sz w:val="21"/>
                      <w:szCs w:val="21"/>
                    </w:rPr>
                  </w:pPr>
                </w:p>
              </w:tc>
              <w:tc>
                <w:tcPr>
                  <w:tcW w:w="1051" w:type="dxa"/>
                  <w:tcBorders>
                    <w:tl2br w:val="nil"/>
                    <w:tr2bl w:val="nil"/>
                  </w:tcBorders>
                  <w:vAlign w:val="center"/>
                </w:tcPr>
                <w:p>
                  <w:pPr>
                    <w:pStyle w:val="54"/>
                    <w:rPr>
                      <w:color w:val="auto"/>
                      <w:sz w:val="21"/>
                      <w:szCs w:val="21"/>
                    </w:rPr>
                  </w:pPr>
                  <w:r>
                    <w:rPr>
                      <w:rFonts w:hint="eastAsia"/>
                      <w:color w:val="auto"/>
                      <w:sz w:val="21"/>
                      <w:szCs w:val="21"/>
                    </w:rPr>
                    <w:t>滴漏沥青及</w:t>
                  </w:r>
                  <w:r>
                    <w:rPr>
                      <w:rFonts w:hint="eastAsia"/>
                      <w:color w:val="auto"/>
                      <w:sz w:val="21"/>
                      <w:szCs w:val="21"/>
                      <w:lang w:eastAsia="zh-CN"/>
                    </w:rPr>
                    <w:t>拌和</w:t>
                  </w:r>
                  <w:r>
                    <w:rPr>
                      <w:rFonts w:hint="eastAsia"/>
                      <w:color w:val="auto"/>
                      <w:sz w:val="21"/>
                      <w:szCs w:val="21"/>
                    </w:rPr>
                    <w:t>残渣</w:t>
                  </w:r>
                </w:p>
              </w:tc>
              <w:tc>
                <w:tcPr>
                  <w:tcW w:w="990" w:type="dxa"/>
                  <w:tcBorders>
                    <w:tl2br w:val="nil"/>
                    <w:tr2bl w:val="nil"/>
                  </w:tcBorders>
                  <w:vAlign w:val="center"/>
                </w:tcPr>
                <w:p>
                  <w:pPr>
                    <w:pStyle w:val="54"/>
                    <w:rPr>
                      <w:color w:val="auto"/>
                      <w:sz w:val="21"/>
                      <w:szCs w:val="21"/>
                    </w:rPr>
                  </w:pPr>
                  <w:r>
                    <w:rPr>
                      <w:rFonts w:hint="eastAsia"/>
                      <w:color w:val="auto"/>
                      <w:sz w:val="21"/>
                      <w:szCs w:val="21"/>
                    </w:rPr>
                    <w:t>一般工业固废</w:t>
                  </w:r>
                </w:p>
              </w:tc>
              <w:tc>
                <w:tcPr>
                  <w:tcW w:w="1401" w:type="dxa"/>
                  <w:tcBorders>
                    <w:tl2br w:val="nil"/>
                    <w:tr2bl w:val="nil"/>
                  </w:tcBorders>
                  <w:vAlign w:val="center"/>
                </w:tcPr>
                <w:p>
                  <w:pPr>
                    <w:pStyle w:val="54"/>
                    <w:rPr>
                      <w:color w:val="auto"/>
                      <w:sz w:val="21"/>
                      <w:szCs w:val="21"/>
                    </w:rPr>
                  </w:pPr>
                  <w:r>
                    <w:rPr>
                      <w:rFonts w:hint="eastAsia"/>
                      <w:color w:val="auto"/>
                      <w:sz w:val="21"/>
                      <w:szCs w:val="21"/>
                    </w:rPr>
                    <w:t>900-099-S59</w:t>
                  </w:r>
                </w:p>
              </w:tc>
              <w:tc>
                <w:tcPr>
                  <w:tcW w:w="913" w:type="dxa"/>
                  <w:tcBorders>
                    <w:tl2br w:val="nil"/>
                    <w:tr2bl w:val="nil"/>
                  </w:tcBorders>
                  <w:vAlign w:val="center"/>
                </w:tcPr>
                <w:p>
                  <w:pPr>
                    <w:pStyle w:val="54"/>
                    <w:rPr>
                      <w:color w:val="auto"/>
                      <w:sz w:val="21"/>
                      <w:szCs w:val="21"/>
                    </w:rPr>
                  </w:pPr>
                  <w:r>
                    <w:rPr>
                      <w:rFonts w:hint="eastAsia"/>
                      <w:color w:val="auto"/>
                      <w:sz w:val="21"/>
                      <w:szCs w:val="21"/>
                    </w:rPr>
                    <w:t>0.1</w:t>
                  </w:r>
                </w:p>
              </w:tc>
              <w:tc>
                <w:tcPr>
                  <w:tcW w:w="1419" w:type="dxa"/>
                  <w:tcBorders>
                    <w:tl2br w:val="nil"/>
                    <w:tr2bl w:val="nil"/>
                  </w:tcBorders>
                  <w:vAlign w:val="center"/>
                </w:tcPr>
                <w:p>
                  <w:pPr>
                    <w:pStyle w:val="54"/>
                    <w:rPr>
                      <w:color w:val="auto"/>
                      <w:sz w:val="21"/>
                      <w:szCs w:val="21"/>
                    </w:rPr>
                  </w:pPr>
                  <w:r>
                    <w:rPr>
                      <w:rFonts w:hint="eastAsia"/>
                      <w:color w:val="auto"/>
                      <w:sz w:val="21"/>
                      <w:szCs w:val="21"/>
                    </w:rPr>
                    <w:t>回用于生产</w:t>
                  </w:r>
                </w:p>
              </w:tc>
              <w:tc>
                <w:tcPr>
                  <w:tcW w:w="881" w:type="dxa"/>
                  <w:tcBorders>
                    <w:tl2br w:val="nil"/>
                    <w:tr2bl w:val="nil"/>
                  </w:tcBorders>
                  <w:vAlign w:val="center"/>
                </w:tcPr>
                <w:p>
                  <w:pPr>
                    <w:pStyle w:val="54"/>
                    <w:rPr>
                      <w:color w:val="auto"/>
                      <w:sz w:val="21"/>
                      <w:szCs w:val="21"/>
                    </w:rPr>
                  </w:pPr>
                  <w:r>
                    <w:rPr>
                      <w:rFonts w:hint="eastAsia"/>
                      <w:color w:val="auto"/>
                      <w:sz w:val="21"/>
                      <w:szCs w:val="21"/>
                    </w:rPr>
                    <w:t>0.1</w:t>
                  </w:r>
                </w:p>
              </w:tc>
              <w:tc>
                <w:tcPr>
                  <w:tcW w:w="1000" w:type="dxa"/>
                  <w:vMerge w:val="continue"/>
                  <w:tcBorders>
                    <w:tl2br w:val="nil"/>
                    <w:tr2bl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564" w:hRule="atLeast"/>
                <w:jc w:val="center"/>
              </w:trPr>
              <w:tc>
                <w:tcPr>
                  <w:tcW w:w="784" w:type="dxa"/>
                  <w:vMerge w:val="continue"/>
                  <w:tcBorders>
                    <w:tl2br w:val="nil"/>
                    <w:tr2bl w:val="nil"/>
                  </w:tcBorders>
                  <w:vAlign w:val="center"/>
                </w:tcPr>
                <w:p>
                  <w:pPr>
                    <w:pStyle w:val="54"/>
                    <w:rPr>
                      <w:color w:val="auto"/>
                      <w:sz w:val="21"/>
                      <w:szCs w:val="21"/>
                    </w:rPr>
                  </w:pPr>
                </w:p>
              </w:tc>
              <w:tc>
                <w:tcPr>
                  <w:tcW w:w="1051" w:type="dxa"/>
                  <w:tcBorders>
                    <w:tl2br w:val="nil"/>
                    <w:tr2bl w:val="nil"/>
                  </w:tcBorders>
                  <w:vAlign w:val="center"/>
                </w:tcPr>
                <w:p>
                  <w:pPr>
                    <w:pStyle w:val="54"/>
                    <w:rPr>
                      <w:color w:val="auto"/>
                      <w:sz w:val="21"/>
                      <w:szCs w:val="21"/>
                    </w:rPr>
                  </w:pPr>
                  <w:r>
                    <w:rPr>
                      <w:rFonts w:hint="eastAsia"/>
                      <w:color w:val="auto"/>
                      <w:sz w:val="21"/>
                      <w:szCs w:val="21"/>
                    </w:rPr>
                    <w:t>废布袋（</w:t>
                  </w:r>
                  <w:r>
                    <w:rPr>
                      <w:rFonts w:hint="eastAsia"/>
                      <w:color w:val="auto"/>
                      <w:sz w:val="21"/>
                      <w:szCs w:val="21"/>
                      <w:lang w:val="en-US" w:eastAsia="zh-CN"/>
                    </w:rPr>
                    <w:t>粉尘</w:t>
                  </w:r>
                  <w:r>
                    <w:rPr>
                      <w:rFonts w:hint="eastAsia"/>
                      <w:color w:val="auto"/>
                      <w:sz w:val="21"/>
                      <w:szCs w:val="21"/>
                    </w:rPr>
                    <w:t>）</w:t>
                  </w:r>
                </w:p>
              </w:tc>
              <w:tc>
                <w:tcPr>
                  <w:tcW w:w="990" w:type="dxa"/>
                  <w:tcBorders>
                    <w:tl2br w:val="nil"/>
                    <w:tr2bl w:val="nil"/>
                  </w:tcBorders>
                  <w:vAlign w:val="center"/>
                </w:tcPr>
                <w:p>
                  <w:pPr>
                    <w:pStyle w:val="54"/>
                    <w:rPr>
                      <w:color w:val="auto"/>
                      <w:sz w:val="21"/>
                      <w:szCs w:val="21"/>
                    </w:rPr>
                  </w:pPr>
                  <w:r>
                    <w:rPr>
                      <w:rFonts w:hint="eastAsia"/>
                      <w:color w:val="auto"/>
                      <w:sz w:val="21"/>
                      <w:szCs w:val="21"/>
                    </w:rPr>
                    <w:t>一般工业固废</w:t>
                  </w:r>
                </w:p>
              </w:tc>
              <w:tc>
                <w:tcPr>
                  <w:tcW w:w="1401" w:type="dxa"/>
                  <w:tcBorders>
                    <w:tl2br w:val="nil"/>
                    <w:tr2bl w:val="nil"/>
                  </w:tcBorders>
                  <w:vAlign w:val="center"/>
                </w:tcPr>
                <w:p>
                  <w:pPr>
                    <w:pStyle w:val="54"/>
                    <w:rPr>
                      <w:color w:val="auto"/>
                      <w:sz w:val="21"/>
                      <w:szCs w:val="21"/>
                    </w:rPr>
                  </w:pPr>
                  <w:r>
                    <w:rPr>
                      <w:rFonts w:hint="eastAsia"/>
                      <w:color w:val="auto"/>
                      <w:sz w:val="21"/>
                      <w:szCs w:val="21"/>
                    </w:rPr>
                    <w:t>900-999-99</w:t>
                  </w:r>
                </w:p>
              </w:tc>
              <w:tc>
                <w:tcPr>
                  <w:tcW w:w="913" w:type="dxa"/>
                  <w:tcBorders>
                    <w:tl2br w:val="nil"/>
                    <w:tr2bl w:val="nil"/>
                  </w:tcBorders>
                  <w:vAlign w:val="center"/>
                </w:tcPr>
                <w:p>
                  <w:pPr>
                    <w:pStyle w:val="54"/>
                    <w:rPr>
                      <w:color w:val="auto"/>
                      <w:sz w:val="21"/>
                      <w:szCs w:val="21"/>
                    </w:rPr>
                  </w:pPr>
                  <w:r>
                    <w:rPr>
                      <w:rFonts w:hint="eastAsia"/>
                      <w:color w:val="auto"/>
                      <w:sz w:val="21"/>
                      <w:szCs w:val="21"/>
                    </w:rPr>
                    <w:t>0.2</w:t>
                  </w:r>
                  <w:r>
                    <w:rPr>
                      <w:rFonts w:hint="eastAsia"/>
                      <w:color w:val="auto"/>
                      <w:sz w:val="21"/>
                      <w:szCs w:val="21"/>
                      <w:lang w:val="en-US" w:eastAsia="zh-CN"/>
                    </w:rPr>
                    <w:t>t</w:t>
                  </w:r>
                  <w:r>
                    <w:rPr>
                      <w:rFonts w:hint="eastAsia"/>
                      <w:color w:val="auto"/>
                      <w:sz w:val="21"/>
                      <w:szCs w:val="21"/>
                    </w:rPr>
                    <w:t>/5a</w:t>
                  </w:r>
                </w:p>
              </w:tc>
              <w:tc>
                <w:tcPr>
                  <w:tcW w:w="1419" w:type="dxa"/>
                  <w:tcBorders>
                    <w:tl2br w:val="nil"/>
                    <w:tr2bl w:val="nil"/>
                  </w:tcBorders>
                  <w:vAlign w:val="center"/>
                </w:tcPr>
                <w:p>
                  <w:pPr>
                    <w:pStyle w:val="54"/>
                    <w:rPr>
                      <w:color w:val="auto"/>
                      <w:sz w:val="21"/>
                      <w:szCs w:val="21"/>
                    </w:rPr>
                  </w:pPr>
                  <w:r>
                    <w:rPr>
                      <w:rFonts w:hint="eastAsia"/>
                      <w:color w:val="auto"/>
                      <w:sz w:val="21"/>
                      <w:szCs w:val="21"/>
                    </w:rPr>
                    <w:t>厂家回收后更换</w:t>
                  </w:r>
                </w:p>
              </w:tc>
              <w:tc>
                <w:tcPr>
                  <w:tcW w:w="881" w:type="dxa"/>
                  <w:tcBorders>
                    <w:tl2br w:val="nil"/>
                    <w:tr2bl w:val="nil"/>
                  </w:tcBorders>
                  <w:vAlign w:val="center"/>
                </w:tcPr>
                <w:p>
                  <w:pPr>
                    <w:pStyle w:val="54"/>
                    <w:rPr>
                      <w:color w:val="auto"/>
                      <w:sz w:val="21"/>
                      <w:szCs w:val="21"/>
                    </w:rPr>
                  </w:pPr>
                  <w:r>
                    <w:rPr>
                      <w:rFonts w:hint="eastAsia"/>
                      <w:color w:val="auto"/>
                      <w:sz w:val="21"/>
                      <w:szCs w:val="21"/>
                    </w:rPr>
                    <w:t>0.2</w:t>
                  </w:r>
                  <w:r>
                    <w:rPr>
                      <w:rFonts w:hint="eastAsia"/>
                      <w:color w:val="auto"/>
                      <w:sz w:val="21"/>
                      <w:szCs w:val="21"/>
                      <w:lang w:val="en-US" w:eastAsia="zh-CN"/>
                    </w:rPr>
                    <w:t>t</w:t>
                  </w:r>
                  <w:r>
                    <w:rPr>
                      <w:rFonts w:hint="eastAsia"/>
                      <w:color w:val="auto"/>
                      <w:sz w:val="21"/>
                      <w:szCs w:val="21"/>
                    </w:rPr>
                    <w:t>/5a</w:t>
                  </w:r>
                </w:p>
              </w:tc>
              <w:tc>
                <w:tcPr>
                  <w:tcW w:w="1000" w:type="dxa"/>
                  <w:tcBorders>
                    <w:tl2br w:val="nil"/>
                    <w:tr2bl w:val="nil"/>
                  </w:tcBorders>
                  <w:vAlign w:val="center"/>
                </w:tcPr>
                <w:p>
                  <w:pPr>
                    <w:pStyle w:val="54"/>
                    <w:rPr>
                      <w:color w:val="auto"/>
                      <w:sz w:val="21"/>
                      <w:szCs w:val="21"/>
                    </w:rPr>
                  </w:pPr>
                  <w:r>
                    <w:rPr>
                      <w:rFonts w:hint="eastAsia"/>
                      <w:color w:val="auto"/>
                      <w:sz w:val="21"/>
                      <w:szCs w:val="21"/>
                    </w:rPr>
                    <w:t>厂家回收后更换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564" w:hRule="atLeast"/>
                <w:jc w:val="center"/>
              </w:trPr>
              <w:tc>
                <w:tcPr>
                  <w:tcW w:w="784" w:type="dxa"/>
                  <w:vMerge w:val="continue"/>
                  <w:tcBorders>
                    <w:tl2br w:val="nil"/>
                    <w:tr2bl w:val="nil"/>
                  </w:tcBorders>
                  <w:vAlign w:val="center"/>
                </w:tcPr>
                <w:p>
                  <w:pPr>
                    <w:pStyle w:val="54"/>
                    <w:rPr>
                      <w:color w:val="auto"/>
                      <w:sz w:val="21"/>
                      <w:szCs w:val="21"/>
                    </w:rPr>
                  </w:pPr>
                </w:p>
              </w:tc>
              <w:tc>
                <w:tcPr>
                  <w:tcW w:w="1051" w:type="dxa"/>
                  <w:tcBorders>
                    <w:tl2br w:val="nil"/>
                    <w:tr2bl w:val="nil"/>
                  </w:tcBorders>
                  <w:vAlign w:val="center"/>
                </w:tcPr>
                <w:p>
                  <w:pPr>
                    <w:pStyle w:val="54"/>
                    <w:rPr>
                      <w:color w:val="auto"/>
                      <w:sz w:val="21"/>
                      <w:szCs w:val="21"/>
                    </w:rPr>
                  </w:pPr>
                  <w:r>
                    <w:rPr>
                      <w:rFonts w:hint="eastAsia"/>
                      <w:color w:val="auto"/>
                      <w:sz w:val="21"/>
                      <w:szCs w:val="21"/>
                    </w:rPr>
                    <w:t>废活性炭</w:t>
                  </w:r>
                </w:p>
              </w:tc>
              <w:tc>
                <w:tcPr>
                  <w:tcW w:w="990" w:type="dxa"/>
                  <w:tcBorders>
                    <w:tl2br w:val="nil"/>
                    <w:tr2bl w:val="nil"/>
                  </w:tcBorders>
                  <w:vAlign w:val="center"/>
                </w:tcPr>
                <w:p>
                  <w:pPr>
                    <w:pStyle w:val="54"/>
                    <w:rPr>
                      <w:color w:val="auto"/>
                      <w:sz w:val="21"/>
                      <w:szCs w:val="21"/>
                    </w:rPr>
                  </w:pPr>
                  <w:r>
                    <w:rPr>
                      <w:rFonts w:hint="eastAsia"/>
                      <w:color w:val="auto"/>
                      <w:sz w:val="21"/>
                      <w:szCs w:val="21"/>
                    </w:rPr>
                    <w:t>危险废物</w:t>
                  </w:r>
                </w:p>
              </w:tc>
              <w:tc>
                <w:tcPr>
                  <w:tcW w:w="1401" w:type="dxa"/>
                  <w:tcBorders>
                    <w:tl2br w:val="nil"/>
                    <w:tr2bl w:val="nil"/>
                  </w:tcBorders>
                  <w:vAlign w:val="center"/>
                </w:tcPr>
                <w:p>
                  <w:pPr>
                    <w:pStyle w:val="54"/>
                    <w:rPr>
                      <w:color w:val="auto"/>
                      <w:sz w:val="21"/>
                      <w:szCs w:val="21"/>
                    </w:rPr>
                  </w:pPr>
                  <w:r>
                    <w:rPr>
                      <w:rFonts w:hint="eastAsia"/>
                      <w:color w:val="auto"/>
                      <w:sz w:val="21"/>
                      <w:szCs w:val="21"/>
                    </w:rPr>
                    <w:t>900-039-49</w:t>
                  </w:r>
                </w:p>
              </w:tc>
              <w:tc>
                <w:tcPr>
                  <w:tcW w:w="913" w:type="dxa"/>
                  <w:tcBorders>
                    <w:tl2br w:val="nil"/>
                    <w:tr2bl w:val="nil"/>
                  </w:tcBorders>
                  <w:vAlign w:val="center"/>
                </w:tcPr>
                <w:p>
                  <w:pPr>
                    <w:pStyle w:val="54"/>
                    <w:rPr>
                      <w:color w:val="auto"/>
                      <w:sz w:val="21"/>
                      <w:szCs w:val="21"/>
                    </w:rPr>
                  </w:pPr>
                  <w:r>
                    <w:rPr>
                      <w:rFonts w:hint="eastAsia"/>
                      <w:color w:val="auto"/>
                      <w:sz w:val="21"/>
                      <w:szCs w:val="21"/>
                    </w:rPr>
                    <w:t>2</w:t>
                  </w:r>
                </w:p>
              </w:tc>
              <w:tc>
                <w:tcPr>
                  <w:tcW w:w="1419" w:type="dxa"/>
                  <w:vMerge w:val="restart"/>
                  <w:tcBorders>
                    <w:tl2br w:val="nil"/>
                    <w:tr2bl w:val="nil"/>
                  </w:tcBorders>
                  <w:vAlign w:val="center"/>
                </w:tcPr>
                <w:p>
                  <w:pPr>
                    <w:pStyle w:val="54"/>
                    <w:rPr>
                      <w:color w:val="auto"/>
                      <w:sz w:val="21"/>
                      <w:szCs w:val="21"/>
                    </w:rPr>
                  </w:pPr>
                  <w:r>
                    <w:rPr>
                      <w:rFonts w:hint="eastAsia"/>
                      <w:color w:val="auto"/>
                      <w:sz w:val="21"/>
                      <w:szCs w:val="21"/>
                    </w:rPr>
                    <w:t>暂存危废贮存点</w:t>
                  </w:r>
                </w:p>
              </w:tc>
              <w:tc>
                <w:tcPr>
                  <w:tcW w:w="881" w:type="dxa"/>
                  <w:tcBorders>
                    <w:tl2br w:val="nil"/>
                    <w:tr2bl w:val="nil"/>
                  </w:tcBorders>
                  <w:vAlign w:val="center"/>
                </w:tcPr>
                <w:p>
                  <w:pPr>
                    <w:pStyle w:val="54"/>
                    <w:rPr>
                      <w:color w:val="auto"/>
                      <w:sz w:val="21"/>
                      <w:szCs w:val="21"/>
                    </w:rPr>
                  </w:pPr>
                  <w:r>
                    <w:rPr>
                      <w:rFonts w:hint="eastAsia"/>
                      <w:color w:val="auto"/>
                      <w:sz w:val="21"/>
                      <w:szCs w:val="21"/>
                    </w:rPr>
                    <w:t>2</w:t>
                  </w:r>
                </w:p>
              </w:tc>
              <w:tc>
                <w:tcPr>
                  <w:tcW w:w="1000" w:type="dxa"/>
                  <w:vMerge w:val="restart"/>
                  <w:tcBorders>
                    <w:tl2br w:val="nil"/>
                    <w:tr2bl w:val="nil"/>
                  </w:tcBorders>
                  <w:vAlign w:val="center"/>
                </w:tcPr>
                <w:p>
                  <w:pPr>
                    <w:pStyle w:val="54"/>
                    <w:rPr>
                      <w:color w:val="auto"/>
                      <w:sz w:val="21"/>
                      <w:szCs w:val="21"/>
                    </w:rPr>
                  </w:pPr>
                  <w:r>
                    <w:rPr>
                      <w:rFonts w:hint="eastAsia"/>
                      <w:color w:val="auto"/>
                      <w:sz w:val="21"/>
                      <w:szCs w:val="21"/>
                    </w:rPr>
                    <w:t>由有资质单位进行处置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283" w:hRule="atLeast"/>
                <w:jc w:val="center"/>
              </w:trPr>
              <w:tc>
                <w:tcPr>
                  <w:tcW w:w="784" w:type="dxa"/>
                  <w:vMerge w:val="continue"/>
                  <w:tcBorders>
                    <w:tl2br w:val="nil"/>
                    <w:tr2bl w:val="nil"/>
                  </w:tcBorders>
                  <w:vAlign w:val="center"/>
                </w:tcPr>
                <w:p>
                  <w:pPr>
                    <w:pStyle w:val="54"/>
                    <w:rPr>
                      <w:color w:val="auto"/>
                      <w:sz w:val="21"/>
                      <w:szCs w:val="21"/>
                    </w:rPr>
                  </w:pPr>
                </w:p>
              </w:tc>
              <w:tc>
                <w:tcPr>
                  <w:tcW w:w="1051" w:type="dxa"/>
                  <w:tcBorders>
                    <w:tl2br w:val="nil"/>
                    <w:tr2bl w:val="nil"/>
                  </w:tcBorders>
                  <w:vAlign w:val="center"/>
                </w:tcPr>
                <w:p>
                  <w:pPr>
                    <w:pStyle w:val="54"/>
                    <w:rPr>
                      <w:color w:val="auto"/>
                      <w:sz w:val="21"/>
                      <w:szCs w:val="21"/>
                    </w:rPr>
                  </w:pPr>
                  <w:r>
                    <w:rPr>
                      <w:rFonts w:hint="eastAsia"/>
                      <w:color w:val="auto"/>
                      <w:sz w:val="21"/>
                      <w:szCs w:val="21"/>
                    </w:rPr>
                    <w:t>废导热油</w:t>
                  </w:r>
                </w:p>
              </w:tc>
              <w:tc>
                <w:tcPr>
                  <w:tcW w:w="990" w:type="dxa"/>
                  <w:tcBorders>
                    <w:tl2br w:val="nil"/>
                    <w:tr2bl w:val="nil"/>
                  </w:tcBorders>
                  <w:vAlign w:val="center"/>
                </w:tcPr>
                <w:p>
                  <w:pPr>
                    <w:rPr>
                      <w:color w:val="auto"/>
                      <w:sz w:val="21"/>
                      <w:szCs w:val="21"/>
                    </w:rPr>
                  </w:pPr>
                  <w:r>
                    <w:rPr>
                      <w:rFonts w:hint="eastAsia"/>
                      <w:color w:val="auto"/>
                      <w:sz w:val="21"/>
                      <w:szCs w:val="21"/>
                    </w:rPr>
                    <w:t>危险废物</w:t>
                  </w:r>
                </w:p>
              </w:tc>
              <w:tc>
                <w:tcPr>
                  <w:tcW w:w="1401" w:type="dxa"/>
                  <w:tcBorders>
                    <w:tl2br w:val="nil"/>
                    <w:tr2bl w:val="nil"/>
                  </w:tcBorders>
                  <w:vAlign w:val="center"/>
                </w:tcPr>
                <w:p>
                  <w:pPr>
                    <w:pStyle w:val="54"/>
                    <w:rPr>
                      <w:color w:val="auto"/>
                      <w:sz w:val="21"/>
                      <w:szCs w:val="21"/>
                    </w:rPr>
                  </w:pPr>
                  <w:r>
                    <w:rPr>
                      <w:rFonts w:hint="eastAsia"/>
                      <w:color w:val="auto"/>
                      <w:sz w:val="21"/>
                      <w:szCs w:val="21"/>
                    </w:rPr>
                    <w:t>900-249-08</w:t>
                  </w:r>
                </w:p>
              </w:tc>
              <w:tc>
                <w:tcPr>
                  <w:tcW w:w="913"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0.5</w:t>
                  </w:r>
                </w:p>
              </w:tc>
              <w:tc>
                <w:tcPr>
                  <w:tcW w:w="1419" w:type="dxa"/>
                  <w:vMerge w:val="continue"/>
                  <w:tcBorders>
                    <w:tl2br w:val="nil"/>
                    <w:tr2bl w:val="nil"/>
                  </w:tcBorders>
                  <w:vAlign w:val="center"/>
                </w:tcPr>
                <w:p>
                  <w:pPr>
                    <w:pStyle w:val="54"/>
                    <w:rPr>
                      <w:color w:val="auto"/>
                      <w:sz w:val="21"/>
                      <w:szCs w:val="21"/>
                    </w:rPr>
                  </w:pPr>
                </w:p>
              </w:tc>
              <w:tc>
                <w:tcPr>
                  <w:tcW w:w="881"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lang w:val="en-US" w:eastAsia="zh-CN"/>
                    </w:rPr>
                    <w:t>0.5</w:t>
                  </w:r>
                </w:p>
              </w:tc>
              <w:tc>
                <w:tcPr>
                  <w:tcW w:w="1000" w:type="dxa"/>
                  <w:vMerge w:val="continue"/>
                  <w:tcBorders>
                    <w:tl2br w:val="nil"/>
                    <w:tr2bl w:val="nil"/>
                  </w:tcBorders>
                  <w:vAlign w:val="center"/>
                </w:tcPr>
                <w:p>
                  <w:pPr>
                    <w:pStyle w:val="54"/>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Ex>
              <w:trPr>
                <w:trHeight w:val="283" w:hRule="atLeast"/>
                <w:jc w:val="center"/>
              </w:trPr>
              <w:tc>
                <w:tcPr>
                  <w:tcW w:w="784" w:type="dxa"/>
                  <w:vMerge w:val="continue"/>
                  <w:tcBorders>
                    <w:tl2br w:val="nil"/>
                    <w:tr2bl w:val="nil"/>
                  </w:tcBorders>
                  <w:vAlign w:val="center"/>
                </w:tcPr>
                <w:p>
                  <w:pPr>
                    <w:pStyle w:val="54"/>
                    <w:rPr>
                      <w:color w:val="auto"/>
                      <w:sz w:val="21"/>
                      <w:szCs w:val="21"/>
                    </w:rPr>
                  </w:pPr>
                </w:p>
              </w:tc>
              <w:tc>
                <w:tcPr>
                  <w:tcW w:w="1051" w:type="dxa"/>
                  <w:tcBorders>
                    <w:tl2br w:val="nil"/>
                    <w:tr2bl w:val="nil"/>
                  </w:tcBorders>
                  <w:shd w:val="clear" w:color="auto" w:fill="auto"/>
                  <w:vAlign w:val="center"/>
                </w:tcPr>
                <w:p>
                  <w:pPr>
                    <w:pStyle w:val="54"/>
                    <w:rPr>
                      <w:color w:val="auto"/>
                      <w:sz w:val="21"/>
                      <w:szCs w:val="21"/>
                    </w:rPr>
                  </w:pPr>
                  <w:r>
                    <w:rPr>
                      <w:rFonts w:hint="eastAsia"/>
                      <w:color w:val="auto"/>
                      <w:sz w:val="21"/>
                      <w:szCs w:val="21"/>
                    </w:rPr>
                    <w:t>废布袋（沥青）</w:t>
                  </w:r>
                </w:p>
              </w:tc>
              <w:tc>
                <w:tcPr>
                  <w:tcW w:w="990" w:type="dxa"/>
                  <w:tcBorders>
                    <w:tl2br w:val="nil"/>
                    <w:tr2bl w:val="nil"/>
                  </w:tcBorders>
                  <w:shd w:val="clear" w:color="auto" w:fill="auto"/>
                  <w:vAlign w:val="center"/>
                </w:tcPr>
                <w:p>
                  <w:pPr>
                    <w:rPr>
                      <w:color w:val="auto"/>
                      <w:sz w:val="21"/>
                      <w:szCs w:val="21"/>
                    </w:rPr>
                  </w:pPr>
                  <w:r>
                    <w:rPr>
                      <w:rFonts w:hint="eastAsia"/>
                      <w:color w:val="auto"/>
                      <w:sz w:val="21"/>
                      <w:szCs w:val="21"/>
                    </w:rPr>
                    <w:t>危险废物</w:t>
                  </w:r>
                </w:p>
              </w:tc>
              <w:tc>
                <w:tcPr>
                  <w:tcW w:w="1401" w:type="dxa"/>
                  <w:tcBorders>
                    <w:tl2br w:val="nil"/>
                    <w:tr2bl w:val="nil"/>
                  </w:tcBorders>
                  <w:shd w:val="clear" w:color="auto" w:fill="auto"/>
                  <w:vAlign w:val="center"/>
                </w:tcPr>
                <w:p>
                  <w:pPr>
                    <w:pStyle w:val="54"/>
                    <w:rPr>
                      <w:color w:val="auto"/>
                      <w:sz w:val="21"/>
                      <w:szCs w:val="21"/>
                    </w:rPr>
                  </w:pPr>
                  <w:r>
                    <w:rPr>
                      <w:rFonts w:hint="eastAsia"/>
                      <w:color w:val="auto"/>
                      <w:sz w:val="21"/>
                      <w:szCs w:val="21"/>
                    </w:rPr>
                    <w:t>900-041-49</w:t>
                  </w:r>
                </w:p>
              </w:tc>
              <w:tc>
                <w:tcPr>
                  <w:tcW w:w="913" w:type="dxa"/>
                  <w:tcBorders>
                    <w:tl2br w:val="nil"/>
                    <w:tr2bl w:val="nil"/>
                  </w:tcBorders>
                  <w:shd w:val="clear" w:color="auto" w:fill="auto"/>
                  <w:vAlign w:val="center"/>
                </w:tcPr>
                <w:p>
                  <w:pPr>
                    <w:pStyle w:val="54"/>
                    <w:rPr>
                      <w:rFonts w:hint="eastAsia" w:eastAsia="宋体"/>
                      <w:color w:val="auto"/>
                      <w:sz w:val="21"/>
                      <w:szCs w:val="21"/>
                      <w:lang w:val="en-US" w:eastAsia="zh-CN"/>
                    </w:rPr>
                  </w:pPr>
                  <w:r>
                    <w:rPr>
                      <w:rFonts w:hint="eastAsia"/>
                      <w:color w:val="auto"/>
                      <w:sz w:val="21"/>
                      <w:szCs w:val="21"/>
                    </w:rPr>
                    <w:t>0.1</w:t>
                  </w:r>
                  <w:r>
                    <w:rPr>
                      <w:rFonts w:hint="eastAsia"/>
                      <w:color w:val="auto"/>
                      <w:sz w:val="21"/>
                      <w:szCs w:val="21"/>
                      <w:lang w:val="en-US" w:eastAsia="zh-CN"/>
                    </w:rPr>
                    <w:t>t/5a</w:t>
                  </w:r>
                </w:p>
              </w:tc>
              <w:tc>
                <w:tcPr>
                  <w:tcW w:w="1419" w:type="dxa"/>
                  <w:vMerge w:val="continue"/>
                  <w:tcBorders>
                    <w:tl2br w:val="nil"/>
                    <w:tr2bl w:val="nil"/>
                  </w:tcBorders>
                  <w:vAlign w:val="center"/>
                </w:tcPr>
                <w:p>
                  <w:pPr>
                    <w:pStyle w:val="54"/>
                    <w:rPr>
                      <w:color w:val="auto"/>
                      <w:sz w:val="21"/>
                      <w:szCs w:val="21"/>
                    </w:rPr>
                  </w:pPr>
                </w:p>
              </w:tc>
              <w:tc>
                <w:tcPr>
                  <w:tcW w:w="881" w:type="dxa"/>
                  <w:tcBorders>
                    <w:tl2br w:val="nil"/>
                    <w:tr2bl w:val="nil"/>
                  </w:tcBorders>
                  <w:vAlign w:val="center"/>
                </w:tcPr>
                <w:p>
                  <w:pPr>
                    <w:pStyle w:val="54"/>
                    <w:rPr>
                      <w:rFonts w:hint="default" w:eastAsia="宋体"/>
                      <w:color w:val="auto"/>
                      <w:sz w:val="21"/>
                      <w:szCs w:val="21"/>
                      <w:lang w:val="en-US" w:eastAsia="zh-CN"/>
                    </w:rPr>
                  </w:pPr>
                  <w:r>
                    <w:rPr>
                      <w:rFonts w:hint="eastAsia"/>
                      <w:color w:val="auto"/>
                      <w:sz w:val="21"/>
                      <w:szCs w:val="21"/>
                    </w:rPr>
                    <w:t>0.1</w:t>
                  </w:r>
                  <w:r>
                    <w:rPr>
                      <w:rFonts w:hint="eastAsia"/>
                      <w:color w:val="auto"/>
                      <w:sz w:val="21"/>
                      <w:szCs w:val="21"/>
                      <w:lang w:val="en-US" w:eastAsia="zh-CN"/>
                    </w:rPr>
                    <w:t>t/5a</w:t>
                  </w:r>
                </w:p>
              </w:tc>
              <w:tc>
                <w:tcPr>
                  <w:tcW w:w="1000" w:type="dxa"/>
                  <w:vMerge w:val="continue"/>
                  <w:tcBorders>
                    <w:tl2br w:val="nil"/>
                    <w:tr2bl w:val="nil"/>
                  </w:tcBorders>
                  <w:vAlign w:val="center"/>
                </w:tcPr>
                <w:p>
                  <w:pPr>
                    <w:pStyle w:val="54"/>
                    <w:rPr>
                      <w:color w:val="auto"/>
                      <w:sz w:val="21"/>
                      <w:szCs w:val="21"/>
                    </w:rPr>
                  </w:pPr>
                </w:p>
              </w:tc>
            </w:tr>
            <w:bookmarkEnd w:id="32"/>
          </w:tbl>
          <w:p>
            <w:pPr>
              <w:pStyle w:val="52"/>
              <w:rPr>
                <w:rFonts w:eastAsia="宋体"/>
                <w:b/>
                <w:color w:val="auto"/>
              </w:rPr>
            </w:pPr>
            <w:r>
              <w:rPr>
                <w:rFonts w:eastAsia="宋体"/>
                <w:b/>
                <w:color w:val="auto"/>
              </w:rPr>
              <w:t>表4-</w:t>
            </w:r>
            <w:r>
              <w:rPr>
                <w:rFonts w:hint="eastAsia" w:eastAsia="宋体"/>
                <w:b/>
                <w:color w:val="auto"/>
              </w:rPr>
              <w:t>1</w:t>
            </w:r>
            <w:r>
              <w:rPr>
                <w:rFonts w:hint="eastAsia" w:eastAsia="宋体"/>
                <w:b/>
                <w:color w:val="auto"/>
                <w:lang w:val="en-US" w:eastAsia="zh-CN"/>
              </w:rPr>
              <w:t>3</w:t>
            </w:r>
            <w:r>
              <w:rPr>
                <w:rFonts w:eastAsia="宋体"/>
                <w:b/>
                <w:color w:val="auto"/>
              </w:rPr>
              <w:t xml:space="preserve">  </w:t>
            </w:r>
            <w:r>
              <w:rPr>
                <w:rFonts w:hint="eastAsia" w:eastAsia="宋体"/>
                <w:b/>
                <w:color w:val="auto"/>
              </w:rPr>
              <w:t>危险废物</w:t>
            </w:r>
            <w:r>
              <w:rPr>
                <w:rFonts w:eastAsia="宋体"/>
                <w:b/>
                <w:color w:val="auto"/>
              </w:rPr>
              <w:t>汇总表</w:t>
            </w:r>
          </w:p>
          <w:tbl>
            <w:tblPr>
              <w:tblStyle w:val="30"/>
              <w:tblW w:w="83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4"/>
              <w:gridCol w:w="1001"/>
              <w:gridCol w:w="724"/>
              <w:gridCol w:w="1107"/>
              <w:gridCol w:w="908"/>
              <w:gridCol w:w="748"/>
              <w:gridCol w:w="466"/>
              <w:gridCol w:w="573"/>
              <w:gridCol w:w="610"/>
              <w:gridCol w:w="565"/>
              <w:gridCol w:w="520"/>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374"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序号</w:t>
                  </w:r>
                </w:p>
              </w:tc>
              <w:tc>
                <w:tcPr>
                  <w:tcW w:w="1001"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危险废物</w:t>
                  </w:r>
                </w:p>
                <w:p>
                  <w:pPr>
                    <w:tabs>
                      <w:tab w:val="center" w:pos="4153"/>
                      <w:tab w:val="right" w:pos="8306"/>
                    </w:tabs>
                    <w:jc w:val="center"/>
                    <w:rPr>
                      <w:color w:val="auto"/>
                      <w:sz w:val="21"/>
                      <w:szCs w:val="21"/>
                    </w:rPr>
                  </w:pPr>
                  <w:r>
                    <w:rPr>
                      <w:color w:val="auto"/>
                      <w:sz w:val="21"/>
                      <w:szCs w:val="21"/>
                    </w:rPr>
                    <w:t>名称</w:t>
                  </w:r>
                </w:p>
              </w:tc>
              <w:tc>
                <w:tcPr>
                  <w:tcW w:w="724"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危险废物类别</w:t>
                  </w:r>
                </w:p>
              </w:tc>
              <w:tc>
                <w:tcPr>
                  <w:tcW w:w="1107"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危险废物代码</w:t>
                  </w:r>
                </w:p>
              </w:tc>
              <w:tc>
                <w:tcPr>
                  <w:tcW w:w="908"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产生量</w:t>
                  </w:r>
                </w:p>
              </w:tc>
              <w:tc>
                <w:tcPr>
                  <w:tcW w:w="748"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产生工序及装置</w:t>
                  </w:r>
                </w:p>
              </w:tc>
              <w:tc>
                <w:tcPr>
                  <w:tcW w:w="466"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形态</w:t>
                  </w:r>
                </w:p>
              </w:tc>
              <w:tc>
                <w:tcPr>
                  <w:tcW w:w="573"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主要成分</w:t>
                  </w:r>
                </w:p>
              </w:tc>
              <w:tc>
                <w:tcPr>
                  <w:tcW w:w="610"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有害成分</w:t>
                  </w:r>
                </w:p>
              </w:tc>
              <w:tc>
                <w:tcPr>
                  <w:tcW w:w="565"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产废周期</w:t>
                  </w:r>
                </w:p>
              </w:tc>
              <w:tc>
                <w:tcPr>
                  <w:tcW w:w="520"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危险特性</w:t>
                  </w:r>
                </w:p>
              </w:tc>
              <w:tc>
                <w:tcPr>
                  <w:tcW w:w="723" w:type="dxa"/>
                  <w:tcMar>
                    <w:left w:w="0" w:type="dxa"/>
                    <w:right w:w="0" w:type="dxa"/>
                  </w:tcMar>
                  <w:vAlign w:val="center"/>
                </w:tcPr>
                <w:p>
                  <w:pPr>
                    <w:widowControl/>
                    <w:jc w:val="center"/>
                    <w:rPr>
                      <w:color w:val="auto"/>
                      <w:sz w:val="21"/>
                      <w:szCs w:val="21"/>
                    </w:rPr>
                  </w:pPr>
                  <w:r>
                    <w:rPr>
                      <w:color w:val="auto"/>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1" w:hRule="atLeast"/>
                <w:jc w:val="center"/>
              </w:trPr>
              <w:tc>
                <w:tcPr>
                  <w:tcW w:w="374" w:type="dxa"/>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1</w:t>
                  </w:r>
                </w:p>
              </w:tc>
              <w:tc>
                <w:tcPr>
                  <w:tcW w:w="1001"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废</w:t>
                  </w:r>
                  <w:r>
                    <w:rPr>
                      <w:rFonts w:hint="eastAsia"/>
                      <w:color w:val="auto"/>
                      <w:sz w:val="21"/>
                      <w:szCs w:val="21"/>
                    </w:rPr>
                    <w:t>导热</w:t>
                  </w:r>
                  <w:r>
                    <w:rPr>
                      <w:color w:val="auto"/>
                      <w:sz w:val="21"/>
                      <w:szCs w:val="21"/>
                    </w:rPr>
                    <w:t>油</w:t>
                  </w:r>
                </w:p>
              </w:tc>
              <w:tc>
                <w:tcPr>
                  <w:tcW w:w="724"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HW08</w:t>
                  </w:r>
                </w:p>
              </w:tc>
              <w:tc>
                <w:tcPr>
                  <w:tcW w:w="1107"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900-249-08</w:t>
                  </w:r>
                </w:p>
              </w:tc>
              <w:tc>
                <w:tcPr>
                  <w:tcW w:w="908" w:type="dxa"/>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lang w:val="en-US" w:eastAsia="zh-CN"/>
                    </w:rPr>
                    <w:t>0.5</w:t>
                  </w:r>
                  <w:r>
                    <w:rPr>
                      <w:color w:val="auto"/>
                      <w:sz w:val="21"/>
                      <w:szCs w:val="21"/>
                    </w:rPr>
                    <w:t>t/a</w:t>
                  </w:r>
                </w:p>
              </w:tc>
              <w:tc>
                <w:tcPr>
                  <w:tcW w:w="748" w:type="dxa"/>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导热油炉</w:t>
                  </w:r>
                </w:p>
              </w:tc>
              <w:tc>
                <w:tcPr>
                  <w:tcW w:w="466"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液态</w:t>
                  </w:r>
                </w:p>
              </w:tc>
              <w:tc>
                <w:tcPr>
                  <w:tcW w:w="573"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矿物油</w:t>
                  </w:r>
                </w:p>
              </w:tc>
              <w:tc>
                <w:tcPr>
                  <w:tcW w:w="610"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矿物油</w:t>
                  </w:r>
                </w:p>
              </w:tc>
              <w:tc>
                <w:tcPr>
                  <w:tcW w:w="565" w:type="dxa"/>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1年</w:t>
                  </w:r>
                </w:p>
              </w:tc>
              <w:tc>
                <w:tcPr>
                  <w:tcW w:w="520" w:type="dxa"/>
                  <w:tcMar>
                    <w:left w:w="0" w:type="dxa"/>
                    <w:right w:w="0" w:type="dxa"/>
                  </w:tcMar>
                  <w:vAlign w:val="center"/>
                </w:tcPr>
                <w:p>
                  <w:pPr>
                    <w:tabs>
                      <w:tab w:val="center" w:pos="4153"/>
                      <w:tab w:val="right" w:pos="8306"/>
                    </w:tabs>
                    <w:jc w:val="center"/>
                    <w:rPr>
                      <w:color w:val="auto"/>
                      <w:sz w:val="21"/>
                      <w:szCs w:val="21"/>
                    </w:rPr>
                  </w:pPr>
                  <w:r>
                    <w:rPr>
                      <w:color w:val="auto"/>
                      <w:sz w:val="21"/>
                      <w:szCs w:val="21"/>
                    </w:rPr>
                    <w:t>T</w:t>
                  </w:r>
                  <w:r>
                    <w:rPr>
                      <w:rFonts w:hint="eastAsia"/>
                      <w:color w:val="auto"/>
                      <w:sz w:val="21"/>
                      <w:szCs w:val="21"/>
                      <w:lang w:eastAsia="zh-CN"/>
                    </w:rPr>
                    <w:t xml:space="preserve">, </w:t>
                  </w:r>
                  <w:r>
                    <w:rPr>
                      <w:color w:val="auto"/>
                      <w:sz w:val="21"/>
                      <w:szCs w:val="21"/>
                    </w:rPr>
                    <w:t>I</w:t>
                  </w:r>
                </w:p>
              </w:tc>
              <w:tc>
                <w:tcPr>
                  <w:tcW w:w="723" w:type="dxa"/>
                  <w:vMerge w:val="restart"/>
                  <w:tcMar>
                    <w:left w:w="0" w:type="dxa"/>
                    <w:right w:w="0" w:type="dxa"/>
                  </w:tcMar>
                  <w:vAlign w:val="center"/>
                </w:tcPr>
                <w:p>
                  <w:pPr>
                    <w:jc w:val="center"/>
                    <w:textAlignment w:val="center"/>
                    <w:rPr>
                      <w:color w:val="auto"/>
                      <w:sz w:val="21"/>
                      <w:szCs w:val="21"/>
                    </w:rPr>
                  </w:pPr>
                  <w:r>
                    <w:rPr>
                      <w:color w:val="auto"/>
                      <w:sz w:val="21"/>
                      <w:szCs w:val="21"/>
                    </w:rPr>
                    <w:t>暂存</w:t>
                  </w:r>
                  <w:r>
                    <w:rPr>
                      <w:rFonts w:hint="eastAsia"/>
                      <w:color w:val="auto"/>
                      <w:sz w:val="21"/>
                      <w:szCs w:val="21"/>
                    </w:rPr>
                    <w:t>危险废物贮存点；定期</w:t>
                  </w:r>
                </w:p>
                <w:p>
                  <w:pPr>
                    <w:jc w:val="center"/>
                    <w:textAlignment w:val="center"/>
                    <w:rPr>
                      <w:color w:val="auto"/>
                      <w:sz w:val="21"/>
                      <w:szCs w:val="21"/>
                    </w:rPr>
                  </w:pPr>
                  <w:r>
                    <w:rPr>
                      <w:color w:val="auto"/>
                      <w:sz w:val="21"/>
                      <w:szCs w:val="21"/>
                    </w:rPr>
                    <w:t>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1" w:hRule="atLeast"/>
                <w:jc w:val="center"/>
              </w:trPr>
              <w:tc>
                <w:tcPr>
                  <w:tcW w:w="374" w:type="dxa"/>
                  <w:shd w:val="clear" w:color="auto" w:fill="auto"/>
                  <w:tcMar>
                    <w:left w:w="0" w:type="dxa"/>
                    <w:right w:w="0" w:type="dxa"/>
                  </w:tcMar>
                  <w:vAlign w:val="center"/>
                </w:tcPr>
                <w:p>
                  <w:pPr>
                    <w:tabs>
                      <w:tab w:val="center" w:pos="4153"/>
                      <w:tab w:val="right" w:pos="8306"/>
                    </w:tabs>
                    <w:jc w:val="center"/>
                    <w:rPr>
                      <w:rFonts w:hint="eastAsia" w:eastAsia="宋体"/>
                      <w:color w:val="auto"/>
                      <w:sz w:val="21"/>
                      <w:szCs w:val="21"/>
                      <w:lang w:eastAsia="zh-CN"/>
                    </w:rPr>
                  </w:pPr>
                  <w:r>
                    <w:rPr>
                      <w:rFonts w:hint="eastAsia"/>
                      <w:color w:val="auto"/>
                      <w:sz w:val="21"/>
                      <w:szCs w:val="21"/>
                      <w:lang w:val="en-US" w:eastAsia="zh-CN"/>
                    </w:rPr>
                    <w:t>2</w:t>
                  </w:r>
                </w:p>
              </w:tc>
              <w:tc>
                <w:tcPr>
                  <w:tcW w:w="1001"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废活性炭</w:t>
                  </w:r>
                </w:p>
              </w:tc>
              <w:tc>
                <w:tcPr>
                  <w:tcW w:w="724"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HW06</w:t>
                  </w:r>
                </w:p>
              </w:tc>
              <w:tc>
                <w:tcPr>
                  <w:tcW w:w="1107"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900-039-49</w:t>
                  </w:r>
                </w:p>
              </w:tc>
              <w:tc>
                <w:tcPr>
                  <w:tcW w:w="908"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2t/a</w:t>
                  </w:r>
                </w:p>
              </w:tc>
              <w:tc>
                <w:tcPr>
                  <w:tcW w:w="748"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沥青站</w:t>
                  </w:r>
                </w:p>
              </w:tc>
              <w:tc>
                <w:tcPr>
                  <w:tcW w:w="466"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固态</w:t>
                  </w:r>
                </w:p>
              </w:tc>
              <w:tc>
                <w:tcPr>
                  <w:tcW w:w="573"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活性炭</w:t>
                  </w:r>
                </w:p>
              </w:tc>
              <w:tc>
                <w:tcPr>
                  <w:tcW w:w="610"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苯并[a]芘</w:t>
                  </w:r>
                </w:p>
              </w:tc>
              <w:tc>
                <w:tcPr>
                  <w:tcW w:w="565"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1年</w:t>
                  </w:r>
                </w:p>
              </w:tc>
              <w:tc>
                <w:tcPr>
                  <w:tcW w:w="520"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T</w:t>
                  </w:r>
                  <w:r>
                    <w:rPr>
                      <w:rFonts w:hint="eastAsia"/>
                      <w:color w:val="auto"/>
                      <w:sz w:val="21"/>
                      <w:szCs w:val="21"/>
                      <w:lang w:eastAsia="zh-CN"/>
                    </w:rPr>
                    <w:t xml:space="preserve">, </w:t>
                  </w:r>
                  <w:r>
                    <w:rPr>
                      <w:rFonts w:hint="eastAsia"/>
                      <w:color w:val="auto"/>
                      <w:sz w:val="21"/>
                      <w:szCs w:val="21"/>
                    </w:rPr>
                    <w:t>I</w:t>
                  </w:r>
                  <w:r>
                    <w:rPr>
                      <w:rFonts w:hint="eastAsia"/>
                      <w:color w:val="auto"/>
                      <w:sz w:val="21"/>
                      <w:szCs w:val="21"/>
                      <w:lang w:eastAsia="zh-CN"/>
                    </w:rPr>
                    <w:t xml:space="preserve">, </w:t>
                  </w:r>
                  <w:r>
                    <w:rPr>
                      <w:rFonts w:hint="eastAsia"/>
                      <w:color w:val="auto"/>
                      <w:sz w:val="21"/>
                      <w:szCs w:val="21"/>
                    </w:rPr>
                    <w:t>R</w:t>
                  </w:r>
                </w:p>
              </w:tc>
              <w:tc>
                <w:tcPr>
                  <w:tcW w:w="723" w:type="dxa"/>
                  <w:vMerge w:val="continue"/>
                  <w:tcMar>
                    <w:left w:w="0" w:type="dxa"/>
                    <w:right w:w="0" w:type="dxa"/>
                  </w:tcMar>
                  <w:vAlign w:val="center"/>
                </w:tcPr>
                <w:p>
                  <w:pPr>
                    <w:jc w:val="center"/>
                    <w:textAlignment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1" w:hRule="atLeast"/>
                <w:jc w:val="center"/>
              </w:trPr>
              <w:tc>
                <w:tcPr>
                  <w:tcW w:w="374" w:type="dxa"/>
                  <w:tcMar>
                    <w:left w:w="0" w:type="dxa"/>
                    <w:right w:w="0" w:type="dxa"/>
                  </w:tcMar>
                  <w:vAlign w:val="center"/>
                </w:tcPr>
                <w:p>
                  <w:pPr>
                    <w:tabs>
                      <w:tab w:val="center" w:pos="4153"/>
                      <w:tab w:val="right" w:pos="8306"/>
                    </w:tabs>
                    <w:jc w:val="center"/>
                    <w:rPr>
                      <w:rFonts w:hint="eastAsia" w:eastAsia="宋体"/>
                      <w:color w:val="auto"/>
                      <w:sz w:val="21"/>
                      <w:szCs w:val="21"/>
                      <w:lang w:eastAsia="zh-CN"/>
                    </w:rPr>
                  </w:pPr>
                  <w:r>
                    <w:rPr>
                      <w:rFonts w:hint="eastAsia"/>
                      <w:color w:val="auto"/>
                      <w:sz w:val="21"/>
                      <w:szCs w:val="21"/>
                      <w:lang w:val="en-US" w:eastAsia="zh-CN"/>
                    </w:rPr>
                    <w:t>3</w:t>
                  </w:r>
                </w:p>
              </w:tc>
              <w:tc>
                <w:tcPr>
                  <w:tcW w:w="1001"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废布袋（沥青）</w:t>
                  </w:r>
                </w:p>
              </w:tc>
              <w:tc>
                <w:tcPr>
                  <w:tcW w:w="724"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HW49</w:t>
                  </w:r>
                </w:p>
              </w:tc>
              <w:tc>
                <w:tcPr>
                  <w:tcW w:w="1107"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900-041-49</w:t>
                  </w:r>
                </w:p>
              </w:tc>
              <w:tc>
                <w:tcPr>
                  <w:tcW w:w="908"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0.1</w:t>
                  </w:r>
                </w:p>
              </w:tc>
              <w:tc>
                <w:tcPr>
                  <w:tcW w:w="748"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沥青站</w:t>
                  </w:r>
                </w:p>
              </w:tc>
              <w:tc>
                <w:tcPr>
                  <w:tcW w:w="466"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固态</w:t>
                  </w:r>
                </w:p>
              </w:tc>
              <w:tc>
                <w:tcPr>
                  <w:tcW w:w="573"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布袋</w:t>
                  </w:r>
                </w:p>
              </w:tc>
              <w:tc>
                <w:tcPr>
                  <w:tcW w:w="610"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苯并[a]芘</w:t>
                  </w:r>
                </w:p>
              </w:tc>
              <w:tc>
                <w:tcPr>
                  <w:tcW w:w="565"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1年</w:t>
                  </w:r>
                </w:p>
              </w:tc>
              <w:tc>
                <w:tcPr>
                  <w:tcW w:w="520" w:type="dxa"/>
                  <w:shd w:val="clear" w:color="auto" w:fill="auto"/>
                  <w:tcMar>
                    <w:left w:w="0" w:type="dxa"/>
                    <w:right w:w="0" w:type="dxa"/>
                  </w:tcMar>
                  <w:vAlign w:val="center"/>
                </w:tcPr>
                <w:p>
                  <w:pPr>
                    <w:tabs>
                      <w:tab w:val="center" w:pos="4153"/>
                      <w:tab w:val="right" w:pos="8306"/>
                    </w:tabs>
                    <w:jc w:val="center"/>
                    <w:rPr>
                      <w:color w:val="auto"/>
                      <w:sz w:val="21"/>
                      <w:szCs w:val="21"/>
                    </w:rPr>
                  </w:pPr>
                  <w:r>
                    <w:rPr>
                      <w:rFonts w:hint="eastAsia"/>
                      <w:color w:val="auto"/>
                      <w:sz w:val="21"/>
                      <w:szCs w:val="21"/>
                    </w:rPr>
                    <w:t>1年</w:t>
                  </w:r>
                </w:p>
              </w:tc>
              <w:tc>
                <w:tcPr>
                  <w:tcW w:w="723" w:type="dxa"/>
                  <w:vMerge w:val="continue"/>
                  <w:tcMar>
                    <w:left w:w="0" w:type="dxa"/>
                    <w:right w:w="0" w:type="dxa"/>
                  </w:tcMar>
                  <w:vAlign w:val="center"/>
                </w:tcPr>
                <w:p>
                  <w:pPr>
                    <w:jc w:val="center"/>
                    <w:textAlignment w:val="center"/>
                    <w:rPr>
                      <w:color w:val="auto"/>
                      <w:sz w:val="21"/>
                      <w:szCs w:val="21"/>
                    </w:rPr>
                  </w:pPr>
                </w:p>
              </w:tc>
            </w:tr>
          </w:tbl>
          <w:p>
            <w:pPr>
              <w:jc w:val="center"/>
              <w:rPr>
                <w:b/>
                <w:color w:val="auto"/>
              </w:rPr>
            </w:pPr>
            <w:r>
              <w:rPr>
                <w:b/>
                <w:color w:val="auto"/>
              </w:rPr>
              <w:t>表4-</w:t>
            </w:r>
            <w:r>
              <w:rPr>
                <w:rFonts w:hint="eastAsia"/>
                <w:b/>
                <w:color w:val="auto"/>
              </w:rPr>
              <w:t>1</w:t>
            </w:r>
            <w:r>
              <w:rPr>
                <w:rFonts w:hint="eastAsia"/>
                <w:b/>
                <w:color w:val="auto"/>
                <w:lang w:val="en-US" w:eastAsia="zh-CN"/>
              </w:rPr>
              <w:t>4</w:t>
            </w:r>
            <w:r>
              <w:rPr>
                <w:b/>
                <w:color w:val="auto"/>
              </w:rPr>
              <w:t xml:space="preserve">  </w:t>
            </w:r>
            <w:r>
              <w:rPr>
                <w:rFonts w:hint="eastAsia"/>
                <w:b/>
                <w:color w:val="auto"/>
              </w:rPr>
              <w:t>危险废物储存场所基本情况表</w:t>
            </w:r>
          </w:p>
          <w:tbl>
            <w:tblPr>
              <w:tblStyle w:val="30"/>
              <w:tblW w:w="8439"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FFFFFF"/>
              <w:tblLayout w:type="fixed"/>
              <w:tblCellMar>
                <w:top w:w="0" w:type="dxa"/>
                <w:left w:w="0" w:type="dxa"/>
                <w:bottom w:w="0" w:type="dxa"/>
                <w:right w:w="0" w:type="dxa"/>
              </w:tblCellMar>
            </w:tblPr>
            <w:tblGrid>
              <w:gridCol w:w="393"/>
              <w:gridCol w:w="1085"/>
              <w:gridCol w:w="1392"/>
              <w:gridCol w:w="1230"/>
              <w:gridCol w:w="1179"/>
              <w:gridCol w:w="558"/>
              <w:gridCol w:w="828"/>
              <w:gridCol w:w="860"/>
              <w:gridCol w:w="91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FFFFFF"/>
                <w:tblLayout w:type="fixed"/>
                <w:tblCellMar>
                  <w:top w:w="0" w:type="dxa"/>
                  <w:left w:w="0" w:type="dxa"/>
                  <w:bottom w:w="0" w:type="dxa"/>
                  <w:right w:w="0" w:type="dxa"/>
                </w:tblCellMar>
              </w:tblPrEx>
              <w:trPr>
                <w:trHeight w:val="23" w:hRule="atLeast"/>
                <w:jc w:val="center"/>
              </w:trPr>
              <w:tc>
                <w:tcPr>
                  <w:tcW w:w="393" w:type="dxa"/>
                  <w:tcBorders>
                    <w:top w:val="single" w:color="auto" w:sz="12"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序号</w:t>
                  </w:r>
                </w:p>
              </w:tc>
              <w:tc>
                <w:tcPr>
                  <w:tcW w:w="1085" w:type="dxa"/>
                  <w:tcBorders>
                    <w:top w:val="single" w:color="auto" w:sz="12"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贮存场所（设施）名称</w:t>
                  </w:r>
                </w:p>
              </w:tc>
              <w:tc>
                <w:tcPr>
                  <w:tcW w:w="1392" w:type="dxa"/>
                  <w:tcBorders>
                    <w:top w:val="single" w:color="auto" w:sz="12"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危险废物名称</w:t>
                  </w:r>
                </w:p>
              </w:tc>
              <w:tc>
                <w:tcPr>
                  <w:tcW w:w="1230" w:type="dxa"/>
                  <w:tcBorders>
                    <w:top w:val="single" w:color="auto" w:sz="12"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危险废物类别</w:t>
                  </w:r>
                </w:p>
              </w:tc>
              <w:tc>
                <w:tcPr>
                  <w:tcW w:w="1179" w:type="dxa"/>
                  <w:tcBorders>
                    <w:top w:val="single" w:color="auto" w:sz="12"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危险废物代码</w:t>
                  </w:r>
                </w:p>
              </w:tc>
              <w:tc>
                <w:tcPr>
                  <w:tcW w:w="558" w:type="dxa"/>
                  <w:tcBorders>
                    <w:top w:val="single" w:color="auto" w:sz="12"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位置</w:t>
                  </w:r>
                </w:p>
              </w:tc>
              <w:tc>
                <w:tcPr>
                  <w:tcW w:w="828" w:type="dxa"/>
                  <w:tcBorders>
                    <w:top w:val="single" w:color="auto" w:sz="12"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贮存方式</w:t>
                  </w:r>
                </w:p>
              </w:tc>
              <w:tc>
                <w:tcPr>
                  <w:tcW w:w="860" w:type="dxa"/>
                  <w:tcBorders>
                    <w:top w:val="single" w:color="auto" w:sz="12"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贮存能力</w:t>
                  </w:r>
                </w:p>
              </w:tc>
              <w:tc>
                <w:tcPr>
                  <w:tcW w:w="914" w:type="dxa"/>
                  <w:tcBorders>
                    <w:top w:val="single" w:color="auto" w:sz="12" w:space="0"/>
                    <w:left w:val="single" w:color="auto" w:sz="4" w:space="0"/>
                    <w:bottom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贮存周期</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FFFFFF"/>
                <w:tblLayout w:type="fixed"/>
                <w:tblCellMar>
                  <w:top w:w="0" w:type="dxa"/>
                  <w:left w:w="0" w:type="dxa"/>
                  <w:bottom w:w="0" w:type="dxa"/>
                  <w:right w:w="0" w:type="dxa"/>
                </w:tblCellMar>
              </w:tblPrEx>
              <w:trPr>
                <w:trHeight w:val="397" w:hRule="atLeast"/>
                <w:jc w:val="center"/>
              </w:trPr>
              <w:tc>
                <w:tcPr>
                  <w:tcW w:w="393"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1</w:t>
                  </w:r>
                </w:p>
              </w:tc>
              <w:tc>
                <w:tcPr>
                  <w:tcW w:w="1085" w:type="dxa"/>
                  <w:vMerge w:val="restart"/>
                  <w:tcBorders>
                    <w:left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危险废物贮存点</w:t>
                  </w: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废</w:t>
                  </w:r>
                  <w:r>
                    <w:rPr>
                      <w:rFonts w:hint="eastAsia"/>
                      <w:color w:val="auto"/>
                      <w:sz w:val="21"/>
                      <w:szCs w:val="21"/>
                    </w:rPr>
                    <w:t>导热</w:t>
                  </w:r>
                  <w:r>
                    <w:rPr>
                      <w:color w:val="auto"/>
                      <w:sz w:val="21"/>
                      <w:szCs w:val="21"/>
                    </w:rPr>
                    <w:t>油</w:t>
                  </w: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HW08</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900-2</w:t>
                  </w:r>
                  <w:r>
                    <w:rPr>
                      <w:rFonts w:hint="eastAsia"/>
                      <w:color w:val="auto"/>
                      <w:sz w:val="21"/>
                      <w:szCs w:val="21"/>
                    </w:rPr>
                    <w:t>14</w:t>
                  </w:r>
                  <w:r>
                    <w:rPr>
                      <w:color w:val="auto"/>
                      <w:sz w:val="21"/>
                      <w:szCs w:val="21"/>
                    </w:rPr>
                    <w:t>-08</w:t>
                  </w:r>
                </w:p>
              </w:tc>
              <w:tc>
                <w:tcPr>
                  <w:tcW w:w="558" w:type="dxa"/>
                  <w:vMerge w:val="restart"/>
                  <w:tcBorders>
                    <w:left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危险废物贮存点</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color w:val="auto"/>
                      <w:sz w:val="21"/>
                      <w:szCs w:val="21"/>
                    </w:rPr>
                    <w:t>桶装</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0.5</w:t>
                  </w:r>
                  <w:r>
                    <w:rPr>
                      <w:color w:val="auto"/>
                      <w:sz w:val="21"/>
                      <w:szCs w:val="21"/>
                    </w:rPr>
                    <w:t>t</w:t>
                  </w:r>
                </w:p>
              </w:tc>
              <w:tc>
                <w:tcPr>
                  <w:tcW w:w="914" w:type="dxa"/>
                  <w:tcBorders>
                    <w:top w:val="single" w:color="auto" w:sz="4" w:space="0"/>
                    <w:left w:val="single" w:color="auto" w:sz="4" w:space="0"/>
                    <w:bottom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一年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FFFFFF"/>
                <w:tblLayout w:type="fixed"/>
                <w:tblCellMar>
                  <w:top w:w="0" w:type="dxa"/>
                  <w:left w:w="0" w:type="dxa"/>
                  <w:bottom w:w="0" w:type="dxa"/>
                  <w:right w:w="0" w:type="dxa"/>
                </w:tblCellMar>
              </w:tblPrEx>
              <w:trPr>
                <w:trHeight w:val="397" w:hRule="atLeast"/>
                <w:jc w:val="center"/>
              </w:trPr>
              <w:tc>
                <w:tcPr>
                  <w:tcW w:w="393"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lang w:val="en-US" w:eastAsia="zh-CN"/>
                    </w:rPr>
                    <w:t>2</w:t>
                  </w:r>
                </w:p>
              </w:tc>
              <w:tc>
                <w:tcPr>
                  <w:tcW w:w="1085" w:type="dxa"/>
                  <w:vMerge w:val="continue"/>
                  <w:tcBorders>
                    <w:left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废活性炭</w:t>
                  </w: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HW06</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900-039-49</w:t>
                  </w:r>
                </w:p>
              </w:tc>
              <w:tc>
                <w:tcPr>
                  <w:tcW w:w="558" w:type="dxa"/>
                  <w:vMerge w:val="continue"/>
                  <w:tcBorders>
                    <w:left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散装</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2t</w:t>
                  </w:r>
                </w:p>
              </w:tc>
              <w:tc>
                <w:tcPr>
                  <w:tcW w:w="914" w:type="dxa"/>
                  <w:tcBorders>
                    <w:top w:val="single" w:color="auto" w:sz="4" w:space="0"/>
                    <w:left w:val="single" w:color="auto" w:sz="4" w:space="0"/>
                    <w:bottom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一年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FFFFFF"/>
                <w:tblLayout w:type="fixed"/>
                <w:tblCellMar>
                  <w:top w:w="0" w:type="dxa"/>
                  <w:left w:w="0" w:type="dxa"/>
                  <w:bottom w:w="0" w:type="dxa"/>
                  <w:right w:w="0" w:type="dxa"/>
                </w:tblCellMar>
              </w:tblPrEx>
              <w:trPr>
                <w:trHeight w:val="397" w:hRule="atLeast"/>
                <w:jc w:val="center"/>
              </w:trPr>
              <w:tc>
                <w:tcPr>
                  <w:tcW w:w="393"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rFonts w:hint="eastAsia" w:eastAsia="宋体"/>
                      <w:color w:val="auto"/>
                      <w:sz w:val="21"/>
                      <w:szCs w:val="21"/>
                      <w:lang w:eastAsia="zh-CN"/>
                    </w:rPr>
                  </w:pPr>
                  <w:r>
                    <w:rPr>
                      <w:rFonts w:hint="eastAsia"/>
                      <w:color w:val="auto"/>
                      <w:sz w:val="21"/>
                      <w:szCs w:val="21"/>
                      <w:lang w:val="en-US" w:eastAsia="zh-CN"/>
                    </w:rPr>
                    <w:t>3</w:t>
                  </w:r>
                </w:p>
              </w:tc>
              <w:tc>
                <w:tcPr>
                  <w:tcW w:w="1085" w:type="dxa"/>
                  <w:vMerge w:val="continue"/>
                  <w:tcBorders>
                    <w:left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废布袋（沥青）</w:t>
                  </w: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HW49</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900-041-49</w:t>
                  </w:r>
                </w:p>
              </w:tc>
              <w:tc>
                <w:tcPr>
                  <w:tcW w:w="558" w:type="dxa"/>
                  <w:vMerge w:val="continue"/>
                  <w:tcBorders>
                    <w:left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散装</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0.1</w:t>
                  </w:r>
                </w:p>
              </w:tc>
              <w:tc>
                <w:tcPr>
                  <w:tcW w:w="914" w:type="dxa"/>
                  <w:tcBorders>
                    <w:top w:val="single" w:color="auto" w:sz="4" w:space="0"/>
                    <w:left w:val="single" w:color="auto" w:sz="4" w:space="0"/>
                    <w:bottom w:val="single" w:color="auto" w:sz="4" w:space="0"/>
                  </w:tcBorders>
                  <w:shd w:val="clear" w:color="auto" w:fill="auto"/>
                  <w:vAlign w:val="center"/>
                </w:tcPr>
                <w:p>
                  <w:pPr>
                    <w:tabs>
                      <w:tab w:val="center" w:pos="4153"/>
                      <w:tab w:val="right" w:pos="8306"/>
                    </w:tabs>
                    <w:jc w:val="center"/>
                    <w:rPr>
                      <w:color w:val="auto"/>
                      <w:sz w:val="21"/>
                      <w:szCs w:val="21"/>
                    </w:rPr>
                  </w:pPr>
                  <w:r>
                    <w:rPr>
                      <w:rFonts w:hint="eastAsia"/>
                      <w:color w:val="auto"/>
                      <w:sz w:val="21"/>
                      <w:szCs w:val="21"/>
                    </w:rPr>
                    <w:t>一年</w:t>
                  </w:r>
                </w:p>
              </w:tc>
            </w:tr>
          </w:tbl>
          <w:p>
            <w:pPr>
              <w:pStyle w:val="51"/>
              <w:numPr>
                <w:ilvl w:val="0"/>
                <w:numId w:val="11"/>
              </w:numPr>
              <w:ind w:firstLine="482"/>
              <w:jc w:val="both"/>
              <w:rPr>
                <w:b/>
                <w:bCs/>
                <w:color w:val="auto"/>
              </w:rPr>
            </w:pPr>
            <w:r>
              <w:rPr>
                <w:b/>
                <w:bCs/>
                <w:color w:val="auto"/>
              </w:rPr>
              <w:t>环境风险</w:t>
            </w:r>
          </w:p>
          <w:p>
            <w:pPr>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（1）危险物质情况</w:t>
            </w:r>
          </w:p>
          <w:p>
            <w:pPr>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eastAsia="zh-CN"/>
              </w:rPr>
              <w:t>根据《建设项目环境风险评价技术导则》（HJ/T 169-2018），</w:t>
            </w:r>
            <w:r>
              <w:rPr>
                <w:rFonts w:hint="default" w:ascii="Times New Roman" w:hAnsi="Times New Roman" w:eastAsia="宋体" w:cs="Times New Roman"/>
                <w:color w:val="auto"/>
                <w:sz w:val="24"/>
                <w:szCs w:val="24"/>
                <w:highlight w:val="none"/>
                <w:u w:val="none" w:color="auto"/>
              </w:rPr>
              <w:t>物质危险性识别范围主要</w:t>
            </w:r>
            <w:r>
              <w:rPr>
                <w:rFonts w:hint="default" w:ascii="Times New Roman" w:hAnsi="Times New Roman" w:eastAsia="宋体" w:cs="Times New Roman"/>
                <w:color w:val="auto"/>
                <w:sz w:val="24"/>
                <w:szCs w:val="24"/>
                <w:highlight w:val="none"/>
                <w:u w:val="none" w:color="auto"/>
                <w:lang w:val="en-US" w:eastAsia="zh-CN"/>
              </w:rPr>
              <w:t>为</w:t>
            </w:r>
            <w:r>
              <w:rPr>
                <w:rFonts w:hint="default" w:ascii="Times New Roman" w:hAnsi="Times New Roman" w:eastAsia="宋体" w:cs="Times New Roman"/>
                <w:color w:val="auto"/>
                <w:sz w:val="24"/>
                <w:szCs w:val="24"/>
                <w:highlight w:val="none"/>
                <w:u w:val="none" w:color="auto"/>
              </w:rPr>
              <w:t>原材料及辅助材料、燃料、中间产品、副产品、最终产品、污染物、火灾和爆炸伴生/次生物等。</w:t>
            </w:r>
            <w:r>
              <w:rPr>
                <w:rFonts w:hint="default" w:ascii="Times New Roman" w:hAnsi="Times New Roman" w:eastAsia="宋体" w:cs="Times New Roman"/>
                <w:color w:val="auto"/>
                <w:sz w:val="24"/>
                <w:szCs w:val="24"/>
                <w:highlight w:val="none"/>
                <w:u w:val="none" w:color="auto"/>
                <w:lang w:val="en-US" w:eastAsia="zh-CN"/>
              </w:rPr>
              <w:t>对照</w:t>
            </w:r>
            <w:r>
              <w:rPr>
                <w:rFonts w:hint="default" w:ascii="Times New Roman" w:hAnsi="Times New Roman" w:eastAsia="宋体" w:cs="Times New Roman"/>
                <w:color w:val="auto"/>
                <w:sz w:val="24"/>
                <w:szCs w:val="24"/>
                <w:highlight w:val="none"/>
                <w:u w:val="none" w:color="auto"/>
                <w:lang w:eastAsia="zh-CN"/>
              </w:rPr>
              <w:t>附录B</w:t>
            </w:r>
            <w:r>
              <w:rPr>
                <w:rFonts w:hint="default" w:ascii="Times New Roman" w:hAnsi="Times New Roman" w:eastAsia="宋体" w:cs="Times New Roman"/>
                <w:color w:val="auto"/>
                <w:sz w:val="24"/>
                <w:szCs w:val="24"/>
                <w:highlight w:val="none"/>
                <w:u w:val="none" w:color="auto"/>
              </w:rPr>
              <w:t>所列出的物质，</w:t>
            </w:r>
            <w:r>
              <w:rPr>
                <w:rFonts w:hint="default" w:ascii="Times New Roman" w:hAnsi="Times New Roman" w:eastAsia="宋体" w:cs="Times New Roman"/>
                <w:color w:val="auto"/>
                <w:sz w:val="24"/>
                <w:szCs w:val="24"/>
                <w:highlight w:val="none"/>
                <w:u w:val="none" w:color="auto"/>
                <w:lang w:eastAsia="zh-CN"/>
              </w:rPr>
              <w:t>本项目</w:t>
            </w:r>
            <w:r>
              <w:rPr>
                <w:rFonts w:hint="eastAsia" w:cs="Times New Roman"/>
                <w:color w:val="auto"/>
                <w:sz w:val="24"/>
                <w:szCs w:val="24"/>
                <w:highlight w:val="none"/>
                <w:u w:val="none" w:color="auto"/>
                <w:lang w:eastAsia="zh-CN"/>
              </w:rPr>
              <w:t>涉及</w:t>
            </w:r>
            <w:r>
              <w:rPr>
                <w:rFonts w:hint="default" w:ascii="Times New Roman" w:hAnsi="Times New Roman" w:eastAsia="宋体" w:cs="Times New Roman"/>
                <w:color w:val="auto"/>
                <w:sz w:val="24"/>
                <w:szCs w:val="24"/>
                <w:highlight w:val="none"/>
                <w:u w:val="none" w:color="auto"/>
                <w:lang w:val="en-US" w:eastAsia="zh-CN"/>
              </w:rPr>
              <w:t>的环境风险物质主要为沥青、导热油、柴油、润滑油、废润滑油以及废导热油。</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危险物质数量及分布情况如下表所示：</w:t>
            </w:r>
          </w:p>
          <w:p>
            <w:pPr>
              <w:jc w:val="center"/>
              <w:rPr>
                <w:rFonts w:hint="default" w:ascii="Times New Roman" w:hAnsi="Times New Roman" w:eastAsia="宋体" w:cs="Times New Roman"/>
                <w:b/>
                <w:bCs/>
                <w:color w:val="auto"/>
                <w:sz w:val="21"/>
                <w:szCs w:val="21"/>
                <w:highlight w:val="none"/>
                <w:u w:val="none" w:color="auto"/>
                <w:lang w:val="en-US" w:eastAsia="zh-CN"/>
              </w:rPr>
            </w:pPr>
            <w:bookmarkStart w:id="33" w:name="_Toc30190"/>
            <w:r>
              <w:rPr>
                <w:rFonts w:hint="default" w:ascii="Times New Roman" w:hAnsi="Times New Roman" w:eastAsia="宋体" w:cs="Times New Roman"/>
                <w:b/>
                <w:bCs/>
                <w:color w:val="auto"/>
                <w:sz w:val="21"/>
                <w:szCs w:val="21"/>
                <w:highlight w:val="none"/>
                <w:u w:val="none" w:color="auto"/>
                <w:lang w:val="en-US" w:eastAsia="zh-CN"/>
              </w:rPr>
              <w:t>表4-</w:t>
            </w:r>
            <w:r>
              <w:rPr>
                <w:rFonts w:hint="eastAsia" w:cs="Times New Roman"/>
                <w:b/>
                <w:bCs/>
                <w:color w:val="auto"/>
                <w:sz w:val="21"/>
                <w:szCs w:val="21"/>
                <w:highlight w:val="none"/>
                <w:u w:val="none" w:color="auto"/>
                <w:lang w:val="en-US" w:eastAsia="zh-CN"/>
              </w:rPr>
              <w:t>15</w:t>
            </w:r>
            <w:r>
              <w:rPr>
                <w:rFonts w:hint="default" w:ascii="Times New Roman" w:hAnsi="Times New Roman" w:eastAsia="宋体" w:cs="Times New Roman"/>
                <w:b/>
                <w:bCs/>
                <w:color w:val="auto"/>
                <w:sz w:val="21"/>
                <w:szCs w:val="21"/>
                <w:highlight w:val="none"/>
                <w:u w:val="none" w:color="auto"/>
                <w:lang w:val="en-US" w:eastAsia="zh-CN"/>
              </w:rPr>
              <w:t xml:space="preserve">  危险物质分布情况表</w:t>
            </w:r>
            <w:bookmarkEnd w:id="33"/>
          </w:p>
          <w:tbl>
            <w:tblPr>
              <w:tblStyle w:val="31"/>
              <w:tblW w:w="840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487"/>
              <w:gridCol w:w="2159"/>
              <w:gridCol w:w="2084"/>
              <w:gridCol w:w="1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89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序号</w:t>
                  </w:r>
                </w:p>
              </w:tc>
              <w:tc>
                <w:tcPr>
                  <w:tcW w:w="148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危险物质</w:t>
                  </w:r>
                </w:p>
              </w:tc>
              <w:tc>
                <w:tcPr>
                  <w:tcW w:w="215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最大贮存量（t）</w:t>
                  </w:r>
                </w:p>
              </w:tc>
              <w:tc>
                <w:tcPr>
                  <w:tcW w:w="20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分布</w:t>
                  </w:r>
                </w:p>
              </w:tc>
              <w:tc>
                <w:tcPr>
                  <w:tcW w:w="17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风险类型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89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1</w:t>
                  </w:r>
                </w:p>
              </w:tc>
              <w:tc>
                <w:tcPr>
                  <w:tcW w:w="148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cs="Times New Roman"/>
                      <w:bCs/>
                      <w:color w:val="auto"/>
                      <w:kern w:val="2"/>
                      <w:sz w:val="21"/>
                      <w:szCs w:val="21"/>
                      <w:highlight w:val="none"/>
                      <w:u w:val="none" w:color="auto"/>
                      <w:vertAlign w:val="baseline"/>
                      <w:lang w:val="en-US" w:eastAsia="zh-CN" w:bidi="ar-SA"/>
                    </w:rPr>
                    <w:t>轻质柴油</w:t>
                  </w:r>
                </w:p>
              </w:tc>
              <w:tc>
                <w:tcPr>
                  <w:tcW w:w="215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cs="Times New Roman"/>
                      <w:bCs/>
                      <w:color w:val="auto"/>
                      <w:kern w:val="2"/>
                      <w:sz w:val="21"/>
                      <w:szCs w:val="21"/>
                      <w:highlight w:val="none"/>
                      <w:u w:val="none" w:color="auto"/>
                      <w:vertAlign w:val="baseline"/>
                      <w:lang w:val="en-US" w:eastAsia="zh-CN" w:bidi="ar-SA"/>
                    </w:rPr>
                    <w:t>40</w:t>
                  </w:r>
                </w:p>
              </w:tc>
              <w:tc>
                <w:tcPr>
                  <w:tcW w:w="20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cs="Times New Roman"/>
                      <w:bCs/>
                      <w:color w:val="auto"/>
                      <w:kern w:val="2"/>
                      <w:sz w:val="21"/>
                      <w:szCs w:val="21"/>
                      <w:highlight w:val="none"/>
                      <w:u w:val="none" w:color="auto"/>
                      <w:vertAlign w:val="baseline"/>
                      <w:lang w:val="en-US" w:eastAsia="zh-CN" w:bidi="ar-SA"/>
                    </w:rPr>
                    <w:t>柴油储</w:t>
                  </w:r>
                  <w:r>
                    <w:rPr>
                      <w:rFonts w:hint="default" w:ascii="Times New Roman" w:hAnsi="Times New Roman" w:eastAsia="宋体" w:cs="Times New Roman"/>
                      <w:bCs/>
                      <w:color w:val="auto"/>
                      <w:kern w:val="2"/>
                      <w:sz w:val="21"/>
                      <w:szCs w:val="21"/>
                      <w:highlight w:val="none"/>
                      <w:u w:val="none" w:color="auto"/>
                      <w:vertAlign w:val="baseline"/>
                      <w:lang w:val="en-US" w:eastAsia="zh-CN" w:bidi="ar-SA"/>
                    </w:rPr>
                    <w:t>罐</w:t>
                  </w:r>
                </w:p>
              </w:tc>
              <w:tc>
                <w:tcPr>
                  <w:tcW w:w="17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火灾，</w:t>
                  </w:r>
                  <w:r>
                    <w:rPr>
                      <w:rFonts w:hint="eastAsia" w:cs="Times New Roman"/>
                      <w:bCs/>
                      <w:color w:val="auto"/>
                      <w:sz w:val="21"/>
                      <w:szCs w:val="21"/>
                      <w:highlight w:val="none"/>
                      <w:u w:val="none" w:color="auto"/>
                      <w:vertAlign w:val="baseline"/>
                      <w:lang w:val="en-US" w:eastAsia="zh-CN"/>
                    </w:rPr>
                    <w:t>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89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2</w:t>
                  </w:r>
                </w:p>
              </w:tc>
              <w:tc>
                <w:tcPr>
                  <w:tcW w:w="148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导热油</w:t>
                  </w:r>
                </w:p>
              </w:tc>
              <w:tc>
                <w:tcPr>
                  <w:tcW w:w="215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w:t>
                  </w:r>
                </w:p>
              </w:tc>
              <w:tc>
                <w:tcPr>
                  <w:tcW w:w="20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导热油锅炉</w:t>
                  </w:r>
                </w:p>
              </w:tc>
              <w:tc>
                <w:tcPr>
                  <w:tcW w:w="17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火灾，</w:t>
                  </w:r>
                  <w:r>
                    <w:rPr>
                      <w:rFonts w:hint="eastAsia" w:cs="Times New Roman"/>
                      <w:bCs/>
                      <w:color w:val="auto"/>
                      <w:sz w:val="21"/>
                      <w:szCs w:val="21"/>
                      <w:highlight w:val="none"/>
                      <w:u w:val="none" w:color="auto"/>
                      <w:vertAlign w:val="baseline"/>
                      <w:lang w:val="en-US" w:eastAsia="zh-CN"/>
                    </w:rPr>
                    <w:t>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89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cs="Times New Roman"/>
                      <w:bCs/>
                      <w:color w:val="auto"/>
                      <w:sz w:val="21"/>
                      <w:szCs w:val="21"/>
                      <w:highlight w:val="none"/>
                      <w:u w:val="none" w:color="auto"/>
                      <w:vertAlign w:val="baseline"/>
                      <w:lang w:val="en-US" w:eastAsia="zh-CN"/>
                    </w:rPr>
                    <w:t>3</w:t>
                  </w:r>
                </w:p>
              </w:tc>
              <w:tc>
                <w:tcPr>
                  <w:tcW w:w="148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废导热油</w:t>
                  </w:r>
                </w:p>
              </w:tc>
              <w:tc>
                <w:tcPr>
                  <w:tcW w:w="215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cs="Times New Roman"/>
                      <w:bCs/>
                      <w:color w:val="auto"/>
                      <w:sz w:val="21"/>
                      <w:szCs w:val="21"/>
                      <w:highlight w:val="none"/>
                      <w:u w:val="none" w:color="auto"/>
                      <w:vertAlign w:val="baseline"/>
                      <w:lang w:val="en-US" w:eastAsia="zh-CN"/>
                    </w:rPr>
                    <w:t>6</w:t>
                  </w:r>
                </w:p>
              </w:tc>
              <w:tc>
                <w:tcPr>
                  <w:tcW w:w="20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危废</w:t>
                  </w:r>
                  <w:r>
                    <w:rPr>
                      <w:rFonts w:hint="eastAsia" w:cs="Times New Roman"/>
                      <w:bCs/>
                      <w:color w:val="auto"/>
                      <w:sz w:val="21"/>
                      <w:szCs w:val="21"/>
                      <w:highlight w:val="none"/>
                      <w:u w:val="none" w:color="auto"/>
                      <w:vertAlign w:val="baseline"/>
                      <w:lang w:val="en-US" w:eastAsia="zh-CN"/>
                    </w:rPr>
                    <w:t>贮存点</w:t>
                  </w:r>
                </w:p>
              </w:tc>
              <w:tc>
                <w:tcPr>
                  <w:tcW w:w="178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火灾、</w:t>
                  </w:r>
                  <w:r>
                    <w:rPr>
                      <w:rFonts w:hint="eastAsia" w:cs="Times New Roman"/>
                      <w:bCs/>
                      <w:color w:val="auto"/>
                      <w:sz w:val="21"/>
                      <w:szCs w:val="21"/>
                      <w:highlight w:val="none"/>
                      <w:u w:val="none" w:color="auto"/>
                      <w:vertAlign w:val="baseline"/>
                      <w:lang w:val="en-US" w:eastAsia="zh-CN"/>
                    </w:rPr>
                    <w:t>泄漏</w:t>
                  </w:r>
                </w:p>
              </w:tc>
            </w:tr>
          </w:tbl>
          <w:p>
            <w:pPr>
              <w:jc w:val="center"/>
              <w:rPr>
                <w:rFonts w:hint="default" w:ascii="Times New Roman" w:hAnsi="Times New Roman" w:eastAsia="宋体" w:cs="Times New Roman"/>
                <w:b/>
                <w:bCs/>
                <w:color w:val="auto"/>
                <w:sz w:val="21"/>
                <w:szCs w:val="21"/>
                <w:highlight w:val="none"/>
                <w:u w:val="none" w:color="auto"/>
                <w:lang w:val="en-US" w:eastAsia="zh-CN"/>
              </w:rPr>
            </w:pPr>
            <w:bookmarkStart w:id="34" w:name="_Toc6384"/>
            <w:r>
              <w:rPr>
                <w:rFonts w:hint="default" w:ascii="Times New Roman" w:hAnsi="Times New Roman" w:eastAsia="宋体" w:cs="Times New Roman"/>
                <w:b/>
                <w:bCs/>
                <w:color w:val="auto"/>
                <w:sz w:val="21"/>
                <w:szCs w:val="21"/>
                <w:highlight w:val="none"/>
                <w:u w:val="none" w:color="auto"/>
                <w:lang w:val="en-US" w:eastAsia="zh-CN"/>
              </w:rPr>
              <w:t>表4-</w:t>
            </w:r>
            <w:r>
              <w:rPr>
                <w:rFonts w:hint="eastAsia" w:cs="Times New Roman"/>
                <w:b/>
                <w:bCs/>
                <w:color w:val="auto"/>
                <w:sz w:val="21"/>
                <w:szCs w:val="21"/>
                <w:highlight w:val="none"/>
                <w:u w:val="none" w:color="auto"/>
                <w:lang w:val="en-US" w:eastAsia="zh-CN"/>
              </w:rPr>
              <w:t>16</w:t>
            </w:r>
            <w:r>
              <w:rPr>
                <w:rFonts w:hint="default" w:ascii="Times New Roman" w:hAnsi="Times New Roman" w:eastAsia="宋体" w:cs="Times New Roman"/>
                <w:b/>
                <w:bCs/>
                <w:color w:val="auto"/>
                <w:sz w:val="21"/>
                <w:szCs w:val="21"/>
                <w:highlight w:val="none"/>
                <w:u w:val="none" w:color="auto"/>
                <w:lang w:val="en-US" w:eastAsia="zh-CN"/>
              </w:rPr>
              <w:t xml:space="preserve">  突发环境事件风险物质贮存量及临界量一览表</w:t>
            </w:r>
            <w:bookmarkEnd w:id="34"/>
          </w:p>
          <w:tbl>
            <w:tblPr>
              <w:tblStyle w:val="31"/>
              <w:tblW w:w="840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2103"/>
              <w:gridCol w:w="2103"/>
              <w:gridCol w:w="2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2064" w:type="dxa"/>
                  <w:tcBorders>
                    <w:tl2br w:val="nil"/>
                    <w:tr2bl w:val="nil"/>
                  </w:tcBorders>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物质名称</w:t>
                  </w:r>
                </w:p>
              </w:tc>
              <w:tc>
                <w:tcPr>
                  <w:tcW w:w="210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最大存在量（t）</w:t>
                  </w:r>
                </w:p>
              </w:tc>
              <w:tc>
                <w:tcPr>
                  <w:tcW w:w="210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临界量（t）</w:t>
                  </w:r>
                </w:p>
              </w:tc>
              <w:tc>
                <w:tcPr>
                  <w:tcW w:w="2139"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q</w:t>
                  </w:r>
                  <w:r>
                    <w:rPr>
                      <w:rFonts w:hint="default" w:ascii="Times New Roman" w:hAnsi="Times New Roman" w:eastAsia="宋体" w:cs="Times New Roman"/>
                      <w:color w:val="auto"/>
                      <w:sz w:val="21"/>
                      <w:szCs w:val="21"/>
                      <w:highlight w:val="none"/>
                      <w:u w:val="none" w:color="auto"/>
                      <w:vertAlign w:val="subscript"/>
                      <w:lang w:val="en-US" w:eastAsia="zh-CN"/>
                    </w:rPr>
                    <w:t>i</w:t>
                  </w:r>
                  <w:r>
                    <w:rPr>
                      <w:rFonts w:hint="default" w:ascii="Times New Roman" w:hAnsi="Times New Roman" w:eastAsia="宋体" w:cs="Times New Roman"/>
                      <w:color w:val="auto"/>
                      <w:sz w:val="21"/>
                      <w:szCs w:val="21"/>
                      <w:highlight w:val="none"/>
                      <w:u w:val="none" w:color="auto"/>
                      <w:vertAlign w:val="baseline"/>
                      <w:lang w:val="en-US" w:eastAsia="zh-CN"/>
                    </w:rPr>
                    <w:t>/Q</w:t>
                  </w:r>
                  <w:r>
                    <w:rPr>
                      <w:rFonts w:hint="default" w:ascii="Times New Roman" w:hAnsi="Times New Roman" w:eastAsia="宋体" w:cs="Times New Roman"/>
                      <w:color w:val="auto"/>
                      <w:sz w:val="21"/>
                      <w:szCs w:val="21"/>
                      <w:highlight w:val="none"/>
                      <w:u w:val="none" w:color="auto"/>
                      <w:vertAlign w:val="subscript"/>
                      <w:lang w:val="en-US" w:eastAsia="zh-CN"/>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2064"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bCs/>
                      <w:color w:val="auto"/>
                      <w:kern w:val="2"/>
                      <w:sz w:val="21"/>
                      <w:szCs w:val="21"/>
                      <w:highlight w:val="none"/>
                      <w:u w:val="none" w:color="auto"/>
                      <w:vertAlign w:val="baseline"/>
                      <w:lang w:val="en-US" w:eastAsia="zh-CN" w:bidi="ar-SA"/>
                    </w:rPr>
                    <w:t>轻质柴油</w:t>
                  </w:r>
                </w:p>
              </w:tc>
              <w:tc>
                <w:tcPr>
                  <w:tcW w:w="2103"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bCs/>
                      <w:color w:val="auto"/>
                      <w:kern w:val="2"/>
                      <w:sz w:val="21"/>
                      <w:szCs w:val="21"/>
                      <w:highlight w:val="none"/>
                      <w:u w:val="none" w:color="auto"/>
                      <w:vertAlign w:val="baseline"/>
                      <w:lang w:val="en-US" w:eastAsia="zh-CN" w:bidi="ar-SA"/>
                    </w:rPr>
                    <w:t>40</w:t>
                  </w:r>
                </w:p>
              </w:tc>
              <w:tc>
                <w:tcPr>
                  <w:tcW w:w="2103"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2500</w:t>
                  </w:r>
                </w:p>
              </w:tc>
              <w:tc>
                <w:tcPr>
                  <w:tcW w:w="2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i w:val="0"/>
                      <w:iCs w:val="0"/>
                      <w:color w:val="auto"/>
                      <w:kern w:val="0"/>
                      <w:sz w:val="21"/>
                      <w:szCs w:val="21"/>
                      <w:u w:val="none"/>
                      <w:lang w:val="en-US" w:eastAsia="zh-CN" w:bidi="ar"/>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206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导热油</w:t>
                  </w:r>
                </w:p>
              </w:tc>
              <w:tc>
                <w:tcPr>
                  <w:tcW w:w="210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w:t>
                  </w:r>
                </w:p>
              </w:tc>
              <w:tc>
                <w:tcPr>
                  <w:tcW w:w="2103"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2500</w:t>
                  </w:r>
                </w:p>
              </w:tc>
              <w:tc>
                <w:tcPr>
                  <w:tcW w:w="2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i w:val="0"/>
                      <w:iCs w:val="0"/>
                      <w:color w:val="auto"/>
                      <w:kern w:val="0"/>
                      <w:sz w:val="21"/>
                      <w:szCs w:val="21"/>
                      <w:u w:val="none"/>
                      <w:lang w:val="en-US" w:eastAsia="zh-CN" w:bidi="ar"/>
                    </w:rPr>
                    <w:t>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4"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vertAlign w:val="baseline"/>
                      <w:lang w:val="en-US" w:eastAsia="zh-CN"/>
                    </w:rPr>
                    <w:t>废导热油</w:t>
                  </w:r>
                </w:p>
              </w:tc>
              <w:tc>
                <w:tcPr>
                  <w:tcW w:w="210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6</w:t>
                  </w:r>
                </w:p>
              </w:tc>
              <w:tc>
                <w:tcPr>
                  <w:tcW w:w="210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2500</w:t>
                  </w:r>
                </w:p>
              </w:tc>
              <w:tc>
                <w:tcPr>
                  <w:tcW w:w="2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i w:val="0"/>
                      <w:iCs w:val="0"/>
                      <w:color w:val="auto"/>
                      <w:kern w:val="0"/>
                      <w:sz w:val="21"/>
                      <w:szCs w:val="21"/>
                      <w:u w:val="none"/>
                      <w:lang w:val="en-US" w:eastAsia="zh-CN" w:bidi="ar"/>
                    </w:rPr>
                    <w:t>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4" w:type="dxa"/>
                  <w:tcBorders>
                    <w:tl2br w:val="nil"/>
                    <w:tr2bl w:val="nil"/>
                  </w:tcBorders>
                  <w:vAlign w:val="center"/>
                </w:tcPr>
                <w:p>
                  <w:pPr>
                    <w:spacing w:line="240" w:lineRule="auto"/>
                    <w:jc w:val="center"/>
                    <w:rPr>
                      <w:rFonts w:hint="eastAsia"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合计</w:t>
                  </w:r>
                </w:p>
              </w:tc>
              <w:tc>
                <w:tcPr>
                  <w:tcW w:w="2103" w:type="dxa"/>
                  <w:tcBorders>
                    <w:tl2br w:val="nil"/>
                    <w:tr2bl w:val="nil"/>
                  </w:tcBorders>
                  <w:vAlign w:val="center"/>
                </w:tcPr>
                <w:p>
                  <w:pPr>
                    <w:spacing w:line="240" w:lineRule="auto"/>
                    <w:jc w:val="center"/>
                    <w:rPr>
                      <w:rFonts w:hint="default" w:cs="Times New Roman"/>
                      <w:bCs/>
                      <w:color w:val="auto"/>
                      <w:sz w:val="21"/>
                      <w:szCs w:val="21"/>
                      <w:highlight w:val="none"/>
                      <w:u w:val="none" w:color="auto"/>
                      <w:vertAlign w:val="baseline"/>
                      <w:lang w:val="en-US" w:eastAsia="zh-CN"/>
                    </w:rPr>
                  </w:pPr>
                  <w:r>
                    <w:rPr>
                      <w:rFonts w:hint="eastAsia" w:cs="Times New Roman"/>
                      <w:bCs/>
                      <w:color w:val="auto"/>
                      <w:sz w:val="21"/>
                      <w:szCs w:val="21"/>
                      <w:highlight w:val="none"/>
                      <w:u w:val="none" w:color="auto"/>
                      <w:vertAlign w:val="baseline"/>
                      <w:lang w:val="en-US" w:eastAsia="zh-CN"/>
                    </w:rPr>
                    <w:t>/</w:t>
                  </w:r>
                </w:p>
              </w:tc>
              <w:tc>
                <w:tcPr>
                  <w:tcW w:w="210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cs="Times New Roman"/>
                      <w:i w:val="0"/>
                      <w:iCs w:val="0"/>
                      <w:color w:val="auto"/>
                      <w:kern w:val="0"/>
                      <w:sz w:val="21"/>
                      <w:szCs w:val="21"/>
                      <w:u w:val="none"/>
                      <w:lang w:val="en-US" w:eastAsia="zh-CN" w:bidi="ar"/>
                    </w:rPr>
                    <w:t>0.0208</w:t>
                  </w:r>
                </w:p>
              </w:tc>
            </w:tr>
          </w:tbl>
          <w:p>
            <w:pPr>
              <w:pStyle w:val="112"/>
              <w:ind w:firstLine="480"/>
              <w:jc w:val="both"/>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本项目危险物质的总量与其临界量的比值之和计量Q，总Q值为</w:t>
            </w:r>
            <w:r>
              <w:rPr>
                <w:rFonts w:hint="eastAsia" w:ascii="Times New Roman" w:hAnsi="Times New Roman" w:eastAsia="宋体" w:cs="Times New Roman"/>
                <w:color w:val="auto"/>
                <w:sz w:val="24"/>
                <w:szCs w:val="24"/>
                <w:highlight w:val="none"/>
                <w:u w:val="none" w:color="auto"/>
                <w:lang w:val="en-US" w:eastAsia="zh-CN"/>
              </w:rPr>
              <w:t>0.02</w:t>
            </w:r>
            <w:r>
              <w:rPr>
                <w:rFonts w:hint="eastAsia" w:cs="Times New Roman"/>
                <w:color w:val="auto"/>
                <w:sz w:val="24"/>
                <w:szCs w:val="24"/>
                <w:highlight w:val="none"/>
                <w:u w:val="none" w:color="auto"/>
                <w:lang w:val="en-US" w:eastAsia="zh-CN"/>
              </w:rPr>
              <w:t>0</w:t>
            </w:r>
            <w:r>
              <w:rPr>
                <w:rFonts w:hint="eastAsia" w:ascii="Times New Roman" w:hAnsi="Times New Roman" w:eastAsia="宋体" w:cs="Times New Roman"/>
                <w:color w:val="auto"/>
                <w:sz w:val="24"/>
                <w:szCs w:val="24"/>
                <w:highlight w:val="none"/>
                <w:u w:val="none" w:color="auto"/>
                <w:lang w:val="en-US" w:eastAsia="zh-CN"/>
              </w:rPr>
              <w:t>8</w:t>
            </w:r>
            <w:r>
              <w:rPr>
                <w:rFonts w:hint="default" w:ascii="Times New Roman" w:hAnsi="Times New Roman" w:eastAsia="宋体" w:cs="Times New Roman"/>
                <w:color w:val="auto"/>
                <w:sz w:val="24"/>
                <w:szCs w:val="24"/>
                <w:highlight w:val="none"/>
                <w:u w:val="none" w:color="auto"/>
                <w:lang w:val="en-US" w:eastAsia="zh-CN"/>
              </w:rPr>
              <w:t>&lt;1。</w:t>
            </w:r>
          </w:p>
          <w:p>
            <w:pPr>
              <w:pStyle w:val="11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outlineLvl w:val="9"/>
              <w:rPr>
                <w:rFonts w:hint="default" w:ascii="Times New Roman" w:hAnsi="Times New Roman" w:eastAsia="宋体" w:cs="Times New Roman"/>
                <w:bCs/>
                <w:caps w:val="0"/>
                <w:snapToGrid w:val="0"/>
                <w:color w:val="auto"/>
                <w:spacing w:val="0"/>
                <w:kern w:val="0"/>
                <w:sz w:val="24"/>
                <w:szCs w:val="24"/>
                <w:highlight w:val="none"/>
                <w:u w:val="none" w:color="auto"/>
                <w:lang w:val="en-US" w:eastAsia="zh-CN" w:bidi="ar-SA"/>
              </w:rPr>
            </w:pPr>
            <w:r>
              <w:rPr>
                <w:rFonts w:hint="default" w:ascii="Times New Roman" w:hAnsi="Times New Roman" w:eastAsia="宋体" w:cs="Times New Roman"/>
                <w:bCs/>
                <w:caps w:val="0"/>
                <w:snapToGrid w:val="0"/>
                <w:color w:val="auto"/>
                <w:spacing w:val="0"/>
                <w:kern w:val="0"/>
                <w:sz w:val="24"/>
                <w:szCs w:val="24"/>
                <w:highlight w:val="none"/>
                <w:u w:val="none" w:color="auto"/>
                <w:lang w:val="en-US" w:eastAsia="zh-CN" w:bidi="ar-SA"/>
              </w:rPr>
              <w:t>（2）环境风险分析</w:t>
            </w:r>
          </w:p>
          <w:p>
            <w:pPr>
              <w:pStyle w:val="113"/>
              <w:ind w:firstLine="480" w:firstLineChars="200"/>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油品泄漏事故：项目生产过程中涉及的危险品有柴油、导热油、废导热油。当储存设施发生破损造成泄漏。油品一旦发生</w:t>
            </w:r>
            <w:r>
              <w:rPr>
                <w:rFonts w:hint="eastAsia" w:ascii="Times New Roman" w:cs="Times New Roman"/>
                <w:bCs/>
                <w:caps w:val="0"/>
                <w:color w:val="auto"/>
                <w:spacing w:val="0"/>
                <w:sz w:val="24"/>
                <w:highlight w:val="none"/>
                <w:u w:val="none" w:color="auto"/>
                <w:lang w:val="en-US" w:eastAsia="zh-CN"/>
              </w:rPr>
              <w:t>泄漏</w:t>
            </w:r>
            <w:r>
              <w:rPr>
                <w:rFonts w:hint="default" w:ascii="Times New Roman" w:hAnsi="Times New Roman" w:eastAsia="宋体" w:cs="Times New Roman"/>
                <w:bCs/>
                <w:caps w:val="0"/>
                <w:color w:val="auto"/>
                <w:spacing w:val="0"/>
                <w:sz w:val="24"/>
                <w:highlight w:val="none"/>
                <w:u w:val="none" w:color="auto"/>
                <w:lang w:val="en-US" w:eastAsia="zh-CN"/>
              </w:rPr>
              <w:t>，不仅造成场地人员伤亡和设备设施的毁坏，还会严重威胁周围环境。以上危险品</w:t>
            </w:r>
            <w:r>
              <w:rPr>
                <w:rFonts w:hint="eastAsia" w:ascii="Times New Roman" w:cs="Times New Roman"/>
                <w:bCs/>
                <w:caps w:val="0"/>
                <w:color w:val="auto"/>
                <w:spacing w:val="0"/>
                <w:sz w:val="24"/>
                <w:highlight w:val="none"/>
                <w:u w:val="none" w:color="auto"/>
                <w:lang w:val="en-US" w:eastAsia="zh-CN"/>
              </w:rPr>
              <w:t>泄漏</w:t>
            </w:r>
            <w:r>
              <w:rPr>
                <w:rFonts w:hint="default" w:ascii="Times New Roman" w:hAnsi="Times New Roman" w:eastAsia="宋体" w:cs="Times New Roman"/>
                <w:bCs/>
                <w:caps w:val="0"/>
                <w:color w:val="auto"/>
                <w:spacing w:val="0"/>
                <w:sz w:val="24"/>
                <w:highlight w:val="none"/>
                <w:u w:val="none" w:color="auto"/>
                <w:lang w:val="en-US" w:eastAsia="zh-CN"/>
              </w:rPr>
              <w:t>进入环境，对河流、土壤、生物造成污染。这种污染一般范围广、面积较大、后果较为严重，达到自然环境的完全恢复</w:t>
            </w:r>
            <w:r>
              <w:rPr>
                <w:rFonts w:hint="eastAsia" w:ascii="Times New Roman" w:cs="Times New Roman"/>
                <w:bCs/>
                <w:caps w:val="0"/>
                <w:color w:val="auto"/>
                <w:spacing w:val="0"/>
                <w:sz w:val="24"/>
                <w:highlight w:val="none"/>
                <w:u w:val="none" w:color="auto"/>
                <w:lang w:val="en-US" w:eastAsia="zh-CN"/>
              </w:rPr>
              <w:t>需要</w:t>
            </w:r>
            <w:r>
              <w:rPr>
                <w:rFonts w:hint="default" w:ascii="Times New Roman" w:hAnsi="Times New Roman" w:eastAsia="宋体" w:cs="Times New Roman"/>
                <w:bCs/>
                <w:caps w:val="0"/>
                <w:color w:val="auto"/>
                <w:spacing w:val="0"/>
                <w:sz w:val="24"/>
                <w:highlight w:val="none"/>
                <w:u w:val="none" w:color="auto"/>
                <w:lang w:val="en-US" w:eastAsia="zh-CN"/>
              </w:rPr>
              <w:t>相当长的时间。对地表水的影响也是不能轻视的，地表水一旦遭到油品的污染，水生生物会遭受破坏，人畜根本无法饮用；同时也有可能污染土壤和地下水，污染的土壤不仅会造成植物的死亡，而且土壤层吸附的油品还会随着下渗补充到地下水，这样尽管污染源得到及时控制，但这种污染</w:t>
            </w:r>
            <w:r>
              <w:rPr>
                <w:rFonts w:hint="eastAsia" w:ascii="Times New Roman" w:cs="Times New Roman"/>
                <w:bCs/>
                <w:caps w:val="0"/>
                <w:color w:val="auto"/>
                <w:spacing w:val="0"/>
                <w:sz w:val="24"/>
                <w:highlight w:val="none"/>
                <w:u w:val="none" w:color="auto"/>
                <w:lang w:val="en-US" w:eastAsia="zh-CN"/>
              </w:rPr>
              <w:t>仅靠</w:t>
            </w:r>
            <w:r>
              <w:rPr>
                <w:rFonts w:hint="default" w:ascii="Times New Roman" w:hAnsi="Times New Roman" w:eastAsia="宋体" w:cs="Times New Roman"/>
                <w:bCs/>
                <w:caps w:val="0"/>
                <w:color w:val="auto"/>
                <w:spacing w:val="0"/>
                <w:sz w:val="24"/>
                <w:highlight w:val="none"/>
                <w:u w:val="none" w:color="auto"/>
                <w:lang w:val="en-US" w:eastAsia="zh-CN"/>
              </w:rPr>
              <w:t>地表雨水入渗的冲刷，含水层的自净降解将是一个长期的过程，达到地下水的完全恢复需要几十年甚至上百年的时间。</w:t>
            </w:r>
          </w:p>
          <w:p>
            <w:pPr>
              <w:pStyle w:val="113"/>
              <w:ind w:firstLine="480" w:firstLineChars="200"/>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火灾爆炸事故：由于柴油、导热油具有易燃易爆的危险特性，沥青具有高热可燃性，决定了本项目的生产区、储罐区都是火灾爆炸事故的危险源。如果在其生产场所有火源存在，就可能造成火灾爆炸事故的发生，因此在生产管理中应重视火源的诱发因素。此外，电路老化、粉尘浓度达到限值等也会引起</w:t>
            </w:r>
            <w:r>
              <w:rPr>
                <w:rFonts w:hint="eastAsia" w:ascii="Times New Roman" w:cs="Times New Roman"/>
                <w:bCs/>
                <w:caps w:val="0"/>
                <w:color w:val="auto"/>
                <w:spacing w:val="0"/>
                <w:sz w:val="24"/>
                <w:highlight w:val="none"/>
                <w:u w:val="none" w:color="auto"/>
                <w:lang w:val="en-US" w:eastAsia="zh-CN"/>
              </w:rPr>
              <w:t>火灾</w:t>
            </w:r>
            <w:r>
              <w:rPr>
                <w:rFonts w:hint="default" w:ascii="Times New Roman" w:hAnsi="Times New Roman" w:eastAsia="宋体" w:cs="Times New Roman"/>
                <w:bCs/>
                <w:caps w:val="0"/>
                <w:color w:val="auto"/>
                <w:spacing w:val="0"/>
                <w:sz w:val="24"/>
                <w:highlight w:val="none"/>
                <w:u w:val="none" w:color="auto"/>
                <w:lang w:val="en-US" w:eastAsia="zh-CN"/>
              </w:rPr>
              <w:t>、爆炸等安全事故。火灾爆炸事故一旦发生，产生的二氧化碳、一氧化碳、沥青烟等污染物会对大气环境造成较大影响，火灾爆炸事故可能破坏地面防渗，导致柴油、导热油、废水泄漏事故等的发生，从而造成二次污染。</w:t>
            </w:r>
          </w:p>
          <w:p>
            <w:pPr>
              <w:pStyle w:val="113"/>
              <w:ind w:firstLine="480" w:firstLineChars="200"/>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有害气体中毒事故：柴油物质具有易挥发性、易扩散流淌性、有毒性等危险、危害特性，具有较大的中毒危险</w:t>
            </w:r>
          </w:p>
          <w:p>
            <w:pPr>
              <w:pStyle w:val="113"/>
              <w:ind w:firstLine="480" w:firstLineChars="200"/>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危废</w:t>
            </w:r>
            <w:r>
              <w:rPr>
                <w:rFonts w:hint="eastAsia" w:ascii="Times New Roman" w:cs="Times New Roman"/>
                <w:bCs/>
                <w:caps w:val="0"/>
                <w:color w:val="auto"/>
                <w:spacing w:val="0"/>
                <w:sz w:val="24"/>
                <w:highlight w:val="none"/>
                <w:u w:val="none" w:color="auto"/>
                <w:lang w:val="en-US" w:eastAsia="zh-CN"/>
              </w:rPr>
              <w:t>贮存点</w:t>
            </w:r>
            <w:r>
              <w:rPr>
                <w:rFonts w:hint="default" w:ascii="Times New Roman" w:hAnsi="Times New Roman" w:eastAsia="宋体" w:cs="Times New Roman"/>
                <w:bCs/>
                <w:caps w:val="0"/>
                <w:color w:val="auto"/>
                <w:spacing w:val="0"/>
                <w:sz w:val="24"/>
                <w:highlight w:val="none"/>
                <w:u w:val="none" w:color="auto"/>
                <w:lang w:val="en-US" w:eastAsia="zh-CN"/>
              </w:rPr>
              <w:t>管理风险：危废暂存间防渗层破损或破裂，且在收集和转运过程中若管理不当，容易导致危险废物渗漏和洒落至地面，并可能进入地表及地下水体，对土壤和水环境造成污染。</w:t>
            </w:r>
          </w:p>
          <w:p>
            <w:pPr>
              <w:pStyle w:val="113"/>
              <w:ind w:firstLine="480" w:firstLineChars="200"/>
              <w:rPr>
                <w:rFonts w:hint="default" w:ascii="Times New Roman" w:hAnsi="Times New Roman" w:eastAsia="宋体" w:cs="Times New Roman"/>
                <w:bCs/>
                <w:caps w:val="0"/>
                <w:color w:val="auto"/>
                <w:spacing w:val="0"/>
                <w:sz w:val="24"/>
                <w:highlight w:val="none"/>
                <w:u w:val="none" w:color="auto"/>
                <w:lang w:val="en-US" w:eastAsia="zh-CN"/>
              </w:rPr>
            </w:pPr>
            <w:bookmarkStart w:id="35" w:name="_Toc6494290"/>
            <w:bookmarkStart w:id="36" w:name="_Toc3359978"/>
            <w:r>
              <w:rPr>
                <w:rFonts w:hint="default" w:ascii="Times New Roman" w:hAnsi="Times New Roman" w:eastAsia="宋体" w:cs="Times New Roman"/>
                <w:bCs/>
                <w:caps w:val="0"/>
                <w:color w:val="auto"/>
                <w:spacing w:val="0"/>
                <w:sz w:val="24"/>
                <w:highlight w:val="none"/>
                <w:u w:val="none" w:color="auto"/>
                <w:lang w:val="en-US" w:eastAsia="zh-CN"/>
              </w:rPr>
              <w:t>（3）风险防范措施</w:t>
            </w:r>
            <w:bookmarkEnd w:id="35"/>
            <w:bookmarkEnd w:id="36"/>
          </w:p>
          <w:p>
            <w:pPr>
              <w:pStyle w:val="99"/>
              <w:spacing w:line="360" w:lineRule="auto"/>
              <w:ind w:firstLine="420"/>
              <w:rPr>
                <w:rFonts w:hint="default" w:cs="Times New Roman"/>
                <w:bCs/>
                <w:caps w:val="0"/>
                <w:color w:val="auto"/>
                <w:spacing w:val="0"/>
                <w:sz w:val="24"/>
                <w:highlight w:val="none"/>
                <w:u w:val="none" w:color="auto"/>
                <w:lang w:val="en-US" w:eastAsia="zh-CN"/>
              </w:rPr>
            </w:pPr>
            <w:r>
              <w:rPr>
                <w:rFonts w:hint="eastAsia" w:cs="Times New Roman"/>
                <w:bCs/>
                <w:caps w:val="0"/>
                <w:color w:val="auto"/>
                <w:spacing w:val="0"/>
                <w:sz w:val="24"/>
                <w:highlight w:val="none"/>
                <w:u w:val="none" w:color="auto"/>
                <w:lang w:val="en-US" w:eastAsia="zh-CN"/>
              </w:rPr>
              <w:t>①罐区事故风险防范措施</w:t>
            </w:r>
          </w:p>
          <w:p>
            <w:pPr>
              <w:pStyle w:val="99"/>
              <w:spacing w:line="360" w:lineRule="auto"/>
              <w:ind w:firstLine="420"/>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项目</w:t>
            </w:r>
            <w:r>
              <w:rPr>
                <w:rFonts w:hint="eastAsia" w:cs="Times New Roman"/>
                <w:bCs/>
                <w:caps w:val="0"/>
                <w:color w:val="auto"/>
                <w:spacing w:val="0"/>
                <w:sz w:val="24"/>
                <w:highlight w:val="none"/>
                <w:u w:val="none" w:color="auto"/>
                <w:lang w:val="en-US" w:eastAsia="zh-CN"/>
              </w:rPr>
              <w:t>拟将</w:t>
            </w:r>
            <w:r>
              <w:rPr>
                <w:rFonts w:hint="default" w:ascii="Times New Roman" w:hAnsi="Times New Roman" w:eastAsia="宋体" w:cs="Times New Roman"/>
                <w:bCs/>
                <w:caps w:val="0"/>
                <w:color w:val="auto"/>
                <w:spacing w:val="0"/>
                <w:sz w:val="24"/>
                <w:highlight w:val="none"/>
                <w:u w:val="none" w:color="auto"/>
                <w:lang w:val="en-US" w:eastAsia="zh-CN"/>
              </w:rPr>
              <w:t>沥青储罐</w:t>
            </w:r>
            <w:r>
              <w:rPr>
                <w:rFonts w:hint="eastAsia" w:cs="Times New Roman"/>
                <w:bCs/>
                <w:caps w:val="0"/>
                <w:color w:val="auto"/>
                <w:spacing w:val="0"/>
                <w:sz w:val="24"/>
                <w:highlight w:val="none"/>
                <w:u w:val="none" w:color="auto"/>
                <w:lang w:val="en-US" w:eastAsia="zh-CN"/>
              </w:rPr>
              <w:t>、柴油储罐、导热油罐</w:t>
            </w:r>
            <w:r>
              <w:rPr>
                <w:rFonts w:hint="default" w:ascii="Times New Roman" w:hAnsi="Times New Roman" w:eastAsia="宋体" w:cs="Times New Roman"/>
                <w:bCs/>
                <w:caps w:val="0"/>
                <w:color w:val="auto"/>
                <w:spacing w:val="0"/>
                <w:sz w:val="24"/>
                <w:highlight w:val="none"/>
                <w:u w:val="none" w:color="auto"/>
                <w:lang w:val="en-US" w:eastAsia="zh-CN"/>
              </w:rPr>
              <w:t>集中在一个区域内，</w:t>
            </w:r>
            <w:r>
              <w:rPr>
                <w:rFonts w:hint="eastAsia" w:cs="Times New Roman"/>
                <w:bCs/>
                <w:caps w:val="0"/>
                <w:color w:val="auto"/>
                <w:spacing w:val="0"/>
                <w:sz w:val="24"/>
                <w:highlight w:val="none"/>
                <w:u w:val="none" w:color="auto"/>
                <w:lang w:val="en-US" w:eastAsia="zh-CN"/>
              </w:rPr>
              <w:t>作为重点防渗区，参照《环境影响评价技术导则地下水环境》（HJ610-2016）表7中重点防渗区的防渗技术要求，等效黏土防渗层Mb≥6.0m，K≤1×10</w:t>
            </w:r>
            <w:r>
              <w:rPr>
                <w:rFonts w:hint="eastAsia" w:cs="Times New Roman"/>
                <w:bCs/>
                <w:caps w:val="0"/>
                <w:color w:val="auto"/>
                <w:spacing w:val="0"/>
                <w:sz w:val="24"/>
                <w:highlight w:val="none"/>
                <w:u w:val="none" w:color="auto"/>
                <w:vertAlign w:val="superscript"/>
                <w:lang w:val="en-US" w:eastAsia="zh-CN"/>
              </w:rPr>
              <w:t>-7</w:t>
            </w:r>
            <w:r>
              <w:rPr>
                <w:rFonts w:hint="eastAsia" w:cs="Times New Roman"/>
                <w:bCs/>
                <w:caps w:val="0"/>
                <w:color w:val="auto"/>
                <w:spacing w:val="0"/>
                <w:sz w:val="24"/>
                <w:highlight w:val="none"/>
                <w:u w:val="none" w:color="auto"/>
                <w:lang w:val="en-US" w:eastAsia="zh-CN"/>
              </w:rPr>
              <w:t>cm/s；</w:t>
            </w:r>
            <w:r>
              <w:rPr>
                <w:rFonts w:hint="default" w:ascii="Times New Roman" w:hAnsi="Times New Roman" w:eastAsia="宋体" w:cs="Times New Roman"/>
                <w:bCs/>
                <w:caps w:val="0"/>
                <w:color w:val="auto"/>
                <w:spacing w:val="0"/>
                <w:sz w:val="24"/>
                <w:highlight w:val="none"/>
                <w:u w:val="none" w:color="auto"/>
                <w:lang w:val="en-US" w:eastAsia="zh-CN"/>
              </w:rPr>
              <w:t>储罐区设置围堰，围堰高度不低于0.</w:t>
            </w:r>
            <w:r>
              <w:rPr>
                <w:rFonts w:hint="eastAsia" w:cs="Times New Roman"/>
                <w:bCs/>
                <w:caps w:val="0"/>
                <w:color w:val="auto"/>
                <w:spacing w:val="0"/>
                <w:sz w:val="24"/>
                <w:highlight w:val="none"/>
                <w:u w:val="none" w:color="auto"/>
                <w:lang w:val="en-US" w:eastAsia="zh-CN"/>
              </w:rPr>
              <w:t>5</w:t>
            </w:r>
            <w:r>
              <w:rPr>
                <w:rFonts w:hint="default" w:ascii="Times New Roman" w:hAnsi="Times New Roman" w:eastAsia="宋体" w:cs="Times New Roman"/>
                <w:bCs/>
                <w:caps w:val="0"/>
                <w:color w:val="auto"/>
                <w:spacing w:val="0"/>
                <w:sz w:val="24"/>
                <w:highlight w:val="none"/>
                <w:u w:val="none" w:color="auto"/>
                <w:lang w:val="en-US" w:eastAsia="zh-CN"/>
              </w:rPr>
              <w:t>m，定期进行检查，检查的重点有无人为破坏，有无泄漏，做到有问题及时发现，及时处理。地面采取防渗及防腐蚀处理。储罐区内设置</w:t>
            </w:r>
            <w:r>
              <w:rPr>
                <w:rFonts w:hint="eastAsia" w:cs="Times New Roman"/>
                <w:bCs/>
                <w:caps w:val="0"/>
                <w:color w:val="auto"/>
                <w:spacing w:val="0"/>
                <w:sz w:val="24"/>
                <w:highlight w:val="none"/>
                <w:u w:val="none" w:color="auto"/>
                <w:lang w:val="en-US" w:eastAsia="zh-CN"/>
              </w:rPr>
              <w:t>“</w:t>
            </w:r>
            <w:r>
              <w:rPr>
                <w:rFonts w:hint="default" w:ascii="Times New Roman" w:hAnsi="Times New Roman" w:eastAsia="宋体" w:cs="Times New Roman"/>
                <w:bCs/>
                <w:caps w:val="0"/>
                <w:color w:val="auto"/>
                <w:spacing w:val="0"/>
                <w:sz w:val="24"/>
                <w:highlight w:val="none"/>
                <w:u w:val="none" w:color="auto"/>
                <w:lang w:val="en-US" w:eastAsia="zh-CN"/>
              </w:rPr>
              <w:t>禁止吸烟</w:t>
            </w:r>
            <w:r>
              <w:rPr>
                <w:rFonts w:hint="eastAsia" w:cs="Times New Roman"/>
                <w:bCs/>
                <w:caps w:val="0"/>
                <w:color w:val="auto"/>
                <w:spacing w:val="0"/>
                <w:sz w:val="24"/>
                <w:highlight w:val="none"/>
                <w:u w:val="none" w:color="auto"/>
                <w:lang w:val="en-US" w:eastAsia="zh-CN"/>
              </w:rPr>
              <w:t>”</w:t>
            </w:r>
            <w:r>
              <w:rPr>
                <w:rFonts w:hint="default" w:ascii="Times New Roman" w:hAnsi="Times New Roman" w:eastAsia="宋体" w:cs="Times New Roman"/>
                <w:bCs/>
                <w:caps w:val="0"/>
                <w:color w:val="auto"/>
                <w:spacing w:val="0"/>
                <w:sz w:val="24"/>
                <w:highlight w:val="none"/>
                <w:u w:val="none" w:color="auto"/>
                <w:lang w:val="en-US" w:eastAsia="zh-CN"/>
              </w:rPr>
              <w:t>和</w:t>
            </w:r>
            <w:r>
              <w:rPr>
                <w:rFonts w:hint="eastAsia" w:cs="Times New Roman"/>
                <w:bCs/>
                <w:caps w:val="0"/>
                <w:color w:val="auto"/>
                <w:spacing w:val="0"/>
                <w:sz w:val="24"/>
                <w:highlight w:val="none"/>
                <w:u w:val="none" w:color="auto"/>
                <w:lang w:val="en-US" w:eastAsia="zh-CN"/>
              </w:rPr>
              <w:t>“</w:t>
            </w:r>
            <w:r>
              <w:rPr>
                <w:rFonts w:hint="default" w:ascii="Times New Roman" w:hAnsi="Times New Roman" w:eastAsia="宋体" w:cs="Times New Roman"/>
                <w:bCs/>
                <w:caps w:val="0"/>
                <w:color w:val="auto"/>
                <w:spacing w:val="0"/>
                <w:sz w:val="24"/>
                <w:highlight w:val="none"/>
                <w:u w:val="none" w:color="auto"/>
                <w:lang w:val="en-US" w:eastAsia="zh-CN"/>
              </w:rPr>
              <w:t>禁止使用明火</w:t>
            </w:r>
            <w:r>
              <w:rPr>
                <w:rFonts w:hint="eastAsia" w:cs="Times New Roman"/>
                <w:bCs/>
                <w:caps w:val="0"/>
                <w:color w:val="auto"/>
                <w:spacing w:val="0"/>
                <w:sz w:val="24"/>
                <w:highlight w:val="none"/>
                <w:u w:val="none" w:color="auto"/>
                <w:lang w:val="en-US" w:eastAsia="zh-CN"/>
              </w:rPr>
              <w:t>”</w:t>
            </w:r>
            <w:r>
              <w:rPr>
                <w:rFonts w:hint="default" w:ascii="Times New Roman" w:hAnsi="Times New Roman" w:eastAsia="宋体" w:cs="Times New Roman"/>
                <w:bCs/>
                <w:caps w:val="0"/>
                <w:color w:val="auto"/>
                <w:spacing w:val="0"/>
                <w:sz w:val="24"/>
                <w:highlight w:val="none"/>
                <w:u w:val="none" w:color="auto"/>
                <w:lang w:val="en-US" w:eastAsia="zh-CN"/>
              </w:rPr>
              <w:t>的告示牌。储存区应远离频繁出入口。</w:t>
            </w:r>
          </w:p>
          <w:p>
            <w:pPr>
              <w:pStyle w:val="99"/>
              <w:spacing w:line="360" w:lineRule="auto"/>
              <w:ind w:firstLine="420"/>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油罐的各接合管设在油罐的顶部，便于平时的检修和管理，避免现场安装开孔可能出现焊接不良和接管受力大、容易发生断裂而造成的跑油、渗油等不安全事故。</w:t>
            </w:r>
          </w:p>
          <w:p>
            <w:pPr>
              <w:pStyle w:val="9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储罐区需设置符合标准的灭火设备，设置明显的警示牌，告诫禁止明火、禁止吸烟。加强对储罐渗漏的防护，对储罐、阀门等进行定期检测，对泄漏到围堰内的物料应使用临时抽吸系统尽快收集，减少着火的机会，</w:t>
            </w:r>
            <w:r>
              <w:rPr>
                <w:rFonts w:hint="eastAsia" w:cs="Times New Roman"/>
                <w:bCs/>
                <w:caps w:val="0"/>
                <w:color w:val="auto"/>
                <w:spacing w:val="0"/>
                <w:sz w:val="24"/>
                <w:highlight w:val="none"/>
                <w:u w:val="none" w:color="auto"/>
                <w:lang w:val="en-US" w:eastAsia="zh-CN"/>
              </w:rPr>
              <w:t>一旦</w:t>
            </w:r>
            <w:r>
              <w:rPr>
                <w:rFonts w:hint="default" w:ascii="Times New Roman" w:hAnsi="Times New Roman" w:eastAsia="宋体" w:cs="Times New Roman"/>
                <w:bCs/>
                <w:caps w:val="0"/>
                <w:color w:val="auto"/>
                <w:spacing w:val="0"/>
                <w:sz w:val="24"/>
                <w:highlight w:val="none"/>
                <w:u w:val="none" w:color="auto"/>
                <w:lang w:val="en-US" w:eastAsia="zh-CN"/>
              </w:rPr>
              <w:t>发生火灾事故，要尽快使用已有的消防设施扑救，疏散周围人群，远离事故区。</w:t>
            </w:r>
          </w:p>
          <w:p>
            <w:pPr>
              <w:pStyle w:val="9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aps w:val="0"/>
                <w:color w:val="auto"/>
                <w:spacing w:val="0"/>
                <w:sz w:val="24"/>
                <w:highlight w:val="none"/>
                <w:u w:val="none" w:color="auto"/>
                <w:lang w:val="en-US" w:eastAsia="zh-CN"/>
              </w:rPr>
            </w:pPr>
            <w:r>
              <w:rPr>
                <w:rFonts w:hint="default" w:ascii="Times New Roman" w:hAnsi="Times New Roman" w:eastAsia="宋体" w:cs="Times New Roman"/>
                <w:bCs/>
                <w:caps w:val="0"/>
                <w:color w:val="auto"/>
                <w:spacing w:val="0"/>
                <w:sz w:val="24"/>
                <w:highlight w:val="none"/>
                <w:u w:val="none" w:color="auto"/>
                <w:lang w:val="en-US" w:eastAsia="zh-CN"/>
              </w:rPr>
              <w:t>柴油、导热油储罐采取双层罐设置。并定期对柴油、导热油运输储罐进行检查，发现破损及时进行更换；汽车运输过程中限速行驶，不超载，防止原辅料泄漏污染环境。</w:t>
            </w:r>
          </w:p>
          <w:p>
            <w:pPr>
              <w:pStyle w:val="9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aps w:val="0"/>
                <w:color w:val="auto"/>
                <w:spacing w:val="0"/>
                <w:sz w:val="24"/>
                <w:highlight w:val="none"/>
                <w:u w:val="none" w:color="auto"/>
                <w:lang w:val="en-US" w:eastAsia="zh-CN"/>
              </w:rPr>
            </w:pPr>
            <w:r>
              <w:rPr>
                <w:rFonts w:hint="eastAsia" w:cs="Times New Roman"/>
                <w:bCs/>
                <w:caps w:val="0"/>
                <w:color w:val="auto"/>
                <w:spacing w:val="0"/>
                <w:sz w:val="24"/>
                <w:highlight w:val="none"/>
                <w:u w:val="none" w:color="auto"/>
                <w:lang w:val="en-US" w:eastAsia="zh-CN"/>
              </w:rPr>
              <w:t>②危险废物事故风险防范措施</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outlineLvl w:val="9"/>
              <w:rPr>
                <w:rFonts w:hint="default" w:ascii="Times New Roman" w:hAnsi="Times New Roman" w:eastAsia="宋体" w:cs="Times New Roman"/>
                <w:bCs/>
                <w:caps w:val="0"/>
                <w:color w:val="auto"/>
                <w:spacing w:val="0"/>
                <w:sz w:val="24"/>
                <w:highlight w:val="none"/>
                <w:u w:val="none" w:color="auto"/>
                <w:lang w:val="en-US" w:eastAsia="zh-CN"/>
              </w:rPr>
            </w:pPr>
            <w:r>
              <w:rPr>
                <w:rFonts w:hint="eastAsia"/>
                <w:bCs/>
                <w:color w:val="auto"/>
                <w:sz w:val="24"/>
                <w:szCs w:val="24"/>
                <w:u w:val="none" w:color="auto"/>
              </w:rPr>
              <w:t>危险废物按照《危险废物贮存污染控制标准》（GB18597-2023）的相关要求“在常温常压下不易水解、不易挥发的固态危险废物可分类堆放贮存，其他固态危险废物应装入容器或包装物内贮存。液态危险废物应装入容器内贮存，或直接采用贮存池、贮存罐区贮存。”本项目采用密封桶储存，</w:t>
            </w:r>
            <w:r>
              <w:rPr>
                <w:rFonts w:hint="eastAsia"/>
                <w:bCs/>
                <w:color w:val="auto"/>
                <w:sz w:val="24"/>
                <w:szCs w:val="24"/>
                <w:u w:val="none" w:color="auto"/>
                <w:lang w:val="en-US" w:eastAsia="zh-CN"/>
              </w:rPr>
              <w:t>危废暂存间内设托盘和围堰，</w:t>
            </w:r>
            <w:r>
              <w:rPr>
                <w:rFonts w:hint="eastAsia"/>
                <w:bCs/>
                <w:color w:val="auto"/>
                <w:sz w:val="24"/>
                <w:szCs w:val="24"/>
                <w:u w:val="none" w:color="auto"/>
              </w:rPr>
              <w:t>危险废物定期交由有相关危险废物资质的单位处理，避免二次污</w:t>
            </w:r>
            <w:r>
              <w:rPr>
                <w:rFonts w:hint="eastAsia"/>
                <w:bCs/>
                <w:color w:val="auto"/>
                <w:sz w:val="24"/>
                <w:szCs w:val="24"/>
                <w:u w:val="none" w:color="auto"/>
                <w:lang w:val="en-US" w:eastAsia="zh-CN"/>
              </w:rPr>
              <w:t>染。</w:t>
            </w:r>
          </w:p>
          <w:p>
            <w:pPr>
              <w:pStyle w:val="9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cs="Times New Roman"/>
                <w:bCs/>
                <w:caps w:val="0"/>
                <w:color w:val="auto"/>
                <w:spacing w:val="0"/>
                <w:sz w:val="24"/>
                <w:highlight w:val="none"/>
                <w:u w:val="none" w:color="auto"/>
                <w:lang w:val="en-US" w:eastAsia="zh-CN"/>
              </w:rPr>
            </w:pPr>
            <w:r>
              <w:rPr>
                <w:rFonts w:hint="eastAsia" w:cs="Times New Roman"/>
                <w:bCs/>
                <w:caps w:val="0"/>
                <w:color w:val="auto"/>
                <w:spacing w:val="0"/>
                <w:sz w:val="24"/>
                <w:highlight w:val="none"/>
                <w:u w:val="none" w:color="auto"/>
                <w:lang w:val="en-US" w:eastAsia="zh-CN"/>
              </w:rPr>
              <w:t>③废气事故排放防范措施</w:t>
            </w:r>
          </w:p>
          <w:p>
            <w:pPr>
              <w:pStyle w:val="9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cs="Times New Roman"/>
                <w:bCs/>
                <w:caps w:val="0"/>
                <w:color w:val="auto"/>
                <w:spacing w:val="0"/>
                <w:sz w:val="24"/>
                <w:highlight w:val="none"/>
                <w:u w:val="none" w:color="auto"/>
                <w:lang w:val="en-US" w:eastAsia="zh-CN"/>
              </w:rPr>
            </w:pPr>
            <w:r>
              <w:rPr>
                <w:rFonts w:hint="eastAsia" w:cs="Times New Roman"/>
                <w:bCs/>
                <w:caps w:val="0"/>
                <w:color w:val="auto"/>
                <w:spacing w:val="0"/>
                <w:sz w:val="24"/>
                <w:highlight w:val="none"/>
                <w:u w:val="none" w:color="auto"/>
                <w:lang w:val="en-US" w:eastAsia="zh-CN"/>
              </w:rPr>
              <w:t>a</w:t>
            </w:r>
            <w:r>
              <w:rPr>
                <w:rFonts w:hint="default" w:cs="Times New Roman"/>
                <w:bCs/>
                <w:caps w:val="0"/>
                <w:color w:val="auto"/>
                <w:spacing w:val="0"/>
                <w:sz w:val="24"/>
                <w:highlight w:val="none"/>
                <w:u w:val="none" w:color="auto"/>
                <w:lang w:val="en-US" w:eastAsia="zh-CN"/>
              </w:rPr>
              <w:t>废气治理措施必须</w:t>
            </w:r>
            <w:r>
              <w:rPr>
                <w:rFonts w:hint="eastAsia" w:cs="Times New Roman"/>
                <w:bCs/>
                <w:caps w:val="0"/>
                <w:color w:val="auto"/>
                <w:spacing w:val="0"/>
                <w:sz w:val="24"/>
                <w:highlight w:val="none"/>
                <w:u w:val="none" w:color="auto"/>
                <w:lang w:val="en-US" w:eastAsia="zh-CN"/>
              </w:rPr>
              <w:t>确保正常</w:t>
            </w:r>
            <w:r>
              <w:rPr>
                <w:rFonts w:hint="default" w:cs="Times New Roman"/>
                <w:bCs/>
                <w:caps w:val="0"/>
                <w:color w:val="auto"/>
                <w:spacing w:val="0"/>
                <w:sz w:val="24"/>
                <w:highlight w:val="none"/>
                <w:u w:val="none" w:color="auto"/>
                <w:lang w:val="en-US" w:eastAsia="zh-CN"/>
              </w:rPr>
              <w:t>运行，如发现人为原因不开启废气治理设施，责任人应</w:t>
            </w:r>
            <w:r>
              <w:rPr>
                <w:rFonts w:hint="eastAsia" w:cs="Times New Roman"/>
                <w:bCs/>
                <w:caps w:val="0"/>
                <w:color w:val="auto"/>
                <w:spacing w:val="0"/>
                <w:sz w:val="24"/>
                <w:highlight w:val="none"/>
                <w:u w:val="none" w:color="auto"/>
                <w:lang w:val="en-US" w:eastAsia="zh-CN"/>
              </w:rPr>
              <w:t>受到</w:t>
            </w:r>
            <w:r>
              <w:rPr>
                <w:rFonts w:hint="default" w:cs="Times New Roman"/>
                <w:bCs/>
                <w:caps w:val="0"/>
                <w:color w:val="auto"/>
                <w:spacing w:val="0"/>
                <w:sz w:val="24"/>
                <w:highlight w:val="none"/>
                <w:u w:val="none" w:color="auto"/>
                <w:lang w:val="en-US" w:eastAsia="zh-CN"/>
              </w:rPr>
              <w:t>行政和经济处罚，并承担事故排放责任。若末端治理措施因故不能运行，则生产必须停止。</w:t>
            </w:r>
          </w:p>
          <w:p>
            <w:pPr>
              <w:pStyle w:val="9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cs="Times New Roman"/>
                <w:bCs/>
                <w:caps w:val="0"/>
                <w:color w:val="auto"/>
                <w:spacing w:val="0"/>
                <w:sz w:val="24"/>
                <w:highlight w:val="none"/>
                <w:u w:val="none" w:color="auto"/>
                <w:lang w:val="en-US" w:eastAsia="zh-CN"/>
              </w:rPr>
            </w:pPr>
            <w:r>
              <w:rPr>
                <w:rFonts w:hint="eastAsia" w:cs="Times New Roman"/>
                <w:bCs/>
                <w:caps w:val="0"/>
                <w:color w:val="auto"/>
                <w:spacing w:val="0"/>
                <w:sz w:val="24"/>
                <w:highlight w:val="none"/>
                <w:u w:val="none" w:color="auto"/>
                <w:lang w:val="en-US" w:eastAsia="zh-CN"/>
              </w:rPr>
              <w:t>b</w:t>
            </w:r>
            <w:r>
              <w:rPr>
                <w:rFonts w:hint="default" w:cs="Times New Roman"/>
                <w:bCs/>
                <w:caps w:val="0"/>
                <w:color w:val="auto"/>
                <w:spacing w:val="0"/>
                <w:sz w:val="24"/>
                <w:highlight w:val="none"/>
                <w:u w:val="none" w:color="auto"/>
                <w:lang w:val="en-US" w:eastAsia="zh-CN"/>
              </w:rPr>
              <w:t>为确保处理效率，在车间设备检修期间，末端处理系统也应同时进行检修，日常应有专人负责进行维护。</w:t>
            </w:r>
          </w:p>
          <w:p>
            <w:pPr>
              <w:pStyle w:val="9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cs="Times New Roman"/>
                <w:bCs/>
                <w:caps w:val="0"/>
                <w:color w:val="auto"/>
                <w:spacing w:val="0"/>
                <w:sz w:val="24"/>
                <w:highlight w:val="none"/>
                <w:u w:val="none" w:color="auto"/>
                <w:lang w:val="en-US" w:eastAsia="zh-CN"/>
              </w:rPr>
            </w:pPr>
            <w:r>
              <w:rPr>
                <w:rFonts w:hint="eastAsia" w:cs="Times New Roman"/>
                <w:bCs/>
                <w:caps w:val="0"/>
                <w:color w:val="auto"/>
                <w:spacing w:val="0"/>
                <w:sz w:val="24"/>
                <w:highlight w:val="none"/>
                <w:u w:val="none" w:color="auto"/>
                <w:lang w:val="en-US" w:eastAsia="zh-CN"/>
              </w:rPr>
              <w:t>c</w:t>
            </w:r>
            <w:r>
              <w:rPr>
                <w:rFonts w:hint="default" w:cs="Times New Roman"/>
                <w:bCs/>
                <w:caps w:val="0"/>
                <w:color w:val="auto"/>
                <w:spacing w:val="0"/>
                <w:sz w:val="24"/>
                <w:highlight w:val="none"/>
                <w:u w:val="none" w:color="auto"/>
                <w:lang w:val="en-US" w:eastAsia="zh-CN"/>
              </w:rPr>
              <w:t>废气处理岗位严格按照操作规程进行，确保废气处理效果。</w:t>
            </w:r>
          </w:p>
          <w:p>
            <w:pPr>
              <w:spacing w:line="360" w:lineRule="auto"/>
              <w:ind w:firstLine="480" w:firstLineChars="200"/>
              <w:rPr>
                <w:color w:val="auto"/>
              </w:rPr>
            </w:pPr>
            <w:r>
              <w:rPr>
                <w:rFonts w:hint="eastAsia" w:cs="Times New Roman"/>
                <w:bCs/>
                <w:caps w:val="0"/>
                <w:color w:val="auto"/>
                <w:spacing w:val="0"/>
                <w:sz w:val="24"/>
                <w:highlight w:val="none"/>
                <w:u w:val="none" w:color="auto"/>
                <w:lang w:val="en-US" w:eastAsia="zh-CN"/>
              </w:rPr>
              <w:t>d</w:t>
            </w:r>
            <w:r>
              <w:rPr>
                <w:rFonts w:hint="default" w:cs="Times New Roman"/>
                <w:bCs/>
                <w:caps w:val="0"/>
                <w:color w:val="auto"/>
                <w:spacing w:val="0"/>
                <w:sz w:val="24"/>
                <w:highlight w:val="none"/>
                <w:u w:val="none" w:color="auto"/>
                <w:lang w:val="en-US" w:eastAsia="zh-CN"/>
              </w:rPr>
              <w:t>正常情况下，活性炭可在停运检修时按使用周期成批更换，保证过滤效率。</w:t>
            </w:r>
          </w:p>
          <w:p>
            <w:pPr>
              <w:numPr>
                <w:ilvl w:val="0"/>
                <w:numId w:val="11"/>
              </w:numPr>
              <w:spacing w:line="360" w:lineRule="auto"/>
              <w:ind w:firstLine="480" w:firstLineChars="200"/>
              <w:rPr>
                <w:color w:val="auto"/>
              </w:rPr>
            </w:pPr>
            <w:r>
              <w:rPr>
                <w:color w:val="auto"/>
              </w:rPr>
              <w:t>排污许可</w:t>
            </w:r>
          </w:p>
          <w:p>
            <w:pPr>
              <w:spacing w:line="360" w:lineRule="auto"/>
              <w:ind w:firstLine="480" w:firstLineChars="200"/>
              <w:rPr>
                <w:rFonts w:ascii="宋体" w:hAnsi="宋体"/>
                <w:color w:val="auto"/>
              </w:rPr>
            </w:pPr>
            <w:r>
              <w:rPr>
                <w:color w:val="auto"/>
              </w:rPr>
              <w:t>根据《固定污染源排污许可分类管理名录（2019年版）》要求，本项目属于二十五、非金属矿物制品业30中“63、水泥、石灰和石膏制造 301，石膏、水泥制品及类似制品制造 302”中的“水泥制品制造 3021”，实施登记管理；“70、石墨及其他非金属矿物制品制造309”中的“其他非金属矿物制品制造3099（单晶硅棒，沥青混合物）”，实施简化管理。因此应当按照国家环境保护相关法律法规、《排污许可证申请与核发技术规范 水泥工业》（HJ847-2017）以及《排污许可证申请与核发技术规范 石墨及其他非金属矿物制品制造》（HJ1119-2020）要求，本项目排污许可</w:t>
            </w:r>
            <w:r>
              <w:rPr>
                <w:rFonts w:hint="eastAsia"/>
                <w:color w:val="auto"/>
              </w:rPr>
              <w:t>涉及水泥制品制造、及其他非金属矿物制品制造两个行业，故本项目排污许可</w:t>
            </w:r>
            <w:r>
              <w:rPr>
                <w:color w:val="auto"/>
              </w:rPr>
              <w:t>实行简化管理。</w:t>
            </w:r>
          </w:p>
        </w:tc>
      </w:tr>
    </w:tbl>
    <w:p>
      <w:pPr>
        <w:rPr>
          <w:color w:val="auto"/>
        </w:rPr>
        <w:sectPr>
          <w:pgSz w:w="11906" w:h="16838"/>
          <w:pgMar w:top="1701" w:right="1531" w:bottom="1701" w:left="1531" w:header="851" w:footer="992" w:gutter="0"/>
          <w:cols w:space="425" w:num="1"/>
          <w:docGrid w:linePitch="312" w:charSpace="0"/>
        </w:sectPr>
      </w:pPr>
    </w:p>
    <w:p>
      <w:pPr>
        <w:jc w:val="center"/>
        <w:outlineLvl w:val="0"/>
        <w:rPr>
          <w:rFonts w:eastAsia="黑体"/>
          <w:color w:val="auto"/>
          <w:sz w:val="30"/>
          <w:szCs w:val="30"/>
        </w:rPr>
      </w:pPr>
      <w:bookmarkStart w:id="37" w:name="_Toc16110"/>
      <w:bookmarkStart w:id="38" w:name="_Toc19789"/>
      <w:bookmarkStart w:id="39" w:name="_Toc6521"/>
      <w:bookmarkStart w:id="40" w:name="_Toc31648"/>
      <w:bookmarkStart w:id="41" w:name="_Toc22573"/>
      <w:r>
        <w:rPr>
          <w:rFonts w:eastAsia="黑体"/>
          <w:color w:val="auto"/>
          <w:sz w:val="30"/>
          <w:szCs w:val="30"/>
        </w:rPr>
        <w:t>五、环境保护措施监督检查清单</w:t>
      </w:r>
      <w:bookmarkEnd w:id="37"/>
      <w:bookmarkEnd w:id="38"/>
      <w:bookmarkEnd w:id="39"/>
      <w:bookmarkEnd w:id="40"/>
      <w:bookmarkEnd w:id="41"/>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483"/>
        <w:gridCol w:w="1410"/>
        <w:gridCol w:w="300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jc w:val="right"/>
              <w:rPr>
                <w:color w:val="auto"/>
              </w:rPr>
            </w:pPr>
            <w:r>
              <w:rPr>
                <w:color w:val="auto"/>
              </w:rPr>
              <w:t>内容</w:t>
            </w:r>
          </w:p>
          <w:p>
            <w:pPr>
              <w:jc w:val="left"/>
              <w:rPr>
                <w:color w:val="auto"/>
              </w:rPr>
            </w:pPr>
            <w:r>
              <w:rPr>
                <w:color w:val="auto"/>
              </w:rPr>
              <w:t>要素</w:t>
            </w:r>
          </w:p>
        </w:tc>
        <w:tc>
          <w:tcPr>
            <w:tcW w:w="1483" w:type="dxa"/>
            <w:tcBorders>
              <w:tl2br w:val="nil"/>
              <w:tr2bl w:val="nil"/>
            </w:tcBorders>
            <w:vAlign w:val="center"/>
          </w:tcPr>
          <w:p>
            <w:pPr>
              <w:jc w:val="center"/>
              <w:rPr>
                <w:color w:val="auto"/>
              </w:rPr>
            </w:pPr>
            <w:r>
              <w:rPr>
                <w:color w:val="auto"/>
              </w:rPr>
              <w:t>排放口（编号、名称）/污染源</w:t>
            </w:r>
          </w:p>
        </w:tc>
        <w:tc>
          <w:tcPr>
            <w:tcW w:w="1410" w:type="dxa"/>
            <w:tcBorders>
              <w:tl2br w:val="nil"/>
              <w:tr2bl w:val="nil"/>
            </w:tcBorders>
            <w:vAlign w:val="center"/>
          </w:tcPr>
          <w:p>
            <w:pPr>
              <w:jc w:val="center"/>
              <w:rPr>
                <w:color w:val="auto"/>
              </w:rPr>
            </w:pPr>
            <w:r>
              <w:rPr>
                <w:color w:val="auto"/>
              </w:rPr>
              <w:t>污染物项目</w:t>
            </w:r>
          </w:p>
        </w:tc>
        <w:tc>
          <w:tcPr>
            <w:tcW w:w="3000" w:type="dxa"/>
            <w:tcBorders>
              <w:tl2br w:val="nil"/>
              <w:tr2bl w:val="nil"/>
            </w:tcBorders>
            <w:vAlign w:val="center"/>
          </w:tcPr>
          <w:p>
            <w:pPr>
              <w:jc w:val="center"/>
              <w:rPr>
                <w:color w:val="auto"/>
              </w:rPr>
            </w:pPr>
            <w:r>
              <w:rPr>
                <w:color w:val="auto"/>
              </w:rPr>
              <w:t>环境保护措施</w:t>
            </w:r>
          </w:p>
        </w:tc>
        <w:tc>
          <w:tcPr>
            <w:tcW w:w="2182" w:type="dxa"/>
            <w:tcBorders>
              <w:tl2br w:val="nil"/>
              <w:tr2bl w:val="nil"/>
            </w:tcBorders>
            <w:vAlign w:val="center"/>
          </w:tcPr>
          <w:p>
            <w:pPr>
              <w:jc w:val="center"/>
              <w:rPr>
                <w:color w:val="auto"/>
              </w:rPr>
            </w:pPr>
            <w:r>
              <w:rPr>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restart"/>
            <w:tcBorders>
              <w:tl2br w:val="nil"/>
              <w:tr2bl w:val="nil"/>
            </w:tcBorders>
            <w:vAlign w:val="center"/>
          </w:tcPr>
          <w:p>
            <w:pPr>
              <w:jc w:val="center"/>
              <w:rPr>
                <w:color w:val="auto"/>
              </w:rPr>
            </w:pPr>
            <w:r>
              <w:rPr>
                <w:color w:val="auto"/>
              </w:rPr>
              <w:t>大气环境</w:t>
            </w:r>
          </w:p>
        </w:tc>
        <w:tc>
          <w:tcPr>
            <w:tcW w:w="1483" w:type="dxa"/>
            <w:vMerge w:val="restart"/>
            <w:tcBorders>
              <w:tl2br w:val="nil"/>
              <w:tr2bl w:val="nil"/>
            </w:tcBorders>
            <w:vAlign w:val="center"/>
          </w:tcPr>
          <w:p>
            <w:pPr>
              <w:adjustRightInd w:val="0"/>
              <w:snapToGrid w:val="0"/>
              <w:jc w:val="center"/>
              <w:rPr>
                <w:bCs/>
                <w:color w:val="auto"/>
              </w:rPr>
            </w:pPr>
            <w:r>
              <w:rPr>
                <w:rFonts w:hint="eastAsia"/>
                <w:bCs/>
                <w:color w:val="auto"/>
              </w:rPr>
              <w:t>导热油炉DA001排气筒</w:t>
            </w:r>
          </w:p>
        </w:tc>
        <w:tc>
          <w:tcPr>
            <w:tcW w:w="1410" w:type="dxa"/>
            <w:tcBorders>
              <w:tl2br w:val="nil"/>
              <w:tr2bl w:val="nil"/>
            </w:tcBorders>
            <w:vAlign w:val="center"/>
          </w:tcPr>
          <w:p>
            <w:pPr>
              <w:adjustRightInd w:val="0"/>
              <w:snapToGrid w:val="0"/>
              <w:jc w:val="center"/>
              <w:rPr>
                <w:bCs/>
                <w:color w:val="auto"/>
              </w:rPr>
            </w:pPr>
            <w:r>
              <w:rPr>
                <w:rFonts w:hint="eastAsia"/>
                <w:bCs/>
                <w:color w:val="auto"/>
              </w:rPr>
              <w:t>颗粒物</w:t>
            </w:r>
          </w:p>
        </w:tc>
        <w:tc>
          <w:tcPr>
            <w:tcW w:w="3000" w:type="dxa"/>
            <w:vMerge w:val="restart"/>
            <w:tcBorders>
              <w:tl2br w:val="nil"/>
              <w:tr2bl w:val="nil"/>
            </w:tcBorders>
            <w:vAlign w:val="center"/>
          </w:tcPr>
          <w:p>
            <w:pPr>
              <w:adjustRightInd w:val="0"/>
              <w:snapToGrid w:val="0"/>
              <w:jc w:val="center"/>
              <w:rPr>
                <w:bCs/>
                <w:color w:val="auto"/>
              </w:rPr>
            </w:pPr>
            <w:r>
              <w:rPr>
                <w:rFonts w:hint="eastAsia"/>
                <w:bCs/>
                <w:color w:val="auto"/>
              </w:rPr>
              <w:t>低氮燃烧技术+1</w:t>
            </w:r>
            <w:r>
              <w:rPr>
                <w:rFonts w:hint="eastAsia"/>
                <w:bCs/>
                <w:color w:val="auto"/>
                <w:lang w:val="en-US" w:eastAsia="zh-CN"/>
              </w:rPr>
              <w:t>5</w:t>
            </w:r>
            <w:r>
              <w:rPr>
                <w:rFonts w:hint="eastAsia"/>
                <w:bCs/>
                <w:color w:val="auto"/>
              </w:rPr>
              <w:t>m高排气筒</w:t>
            </w:r>
          </w:p>
        </w:tc>
        <w:tc>
          <w:tcPr>
            <w:tcW w:w="2182" w:type="dxa"/>
            <w:vMerge w:val="restart"/>
            <w:tcBorders>
              <w:tl2br w:val="nil"/>
              <w:tr2bl w:val="nil"/>
            </w:tcBorders>
            <w:vAlign w:val="center"/>
          </w:tcPr>
          <w:p>
            <w:pPr>
              <w:adjustRightInd w:val="0"/>
              <w:snapToGrid w:val="0"/>
              <w:jc w:val="center"/>
              <w:rPr>
                <w:bCs/>
                <w:color w:val="auto"/>
              </w:rPr>
            </w:pPr>
            <w:r>
              <w:rPr>
                <w:bCs/>
                <w:color w:val="auto"/>
              </w:rPr>
              <w:t>《</w:t>
            </w:r>
            <w:r>
              <w:rPr>
                <w:rFonts w:hint="eastAsia"/>
                <w:bCs/>
                <w:color w:val="auto"/>
              </w:rPr>
              <w:t>锅炉大气污染物排放标准</w:t>
            </w:r>
            <w:r>
              <w:rPr>
                <w:bCs/>
                <w:color w:val="auto"/>
              </w:rPr>
              <w:t>》（GB</w:t>
            </w:r>
            <w:r>
              <w:rPr>
                <w:rFonts w:hint="eastAsia"/>
                <w:bCs/>
                <w:color w:val="auto"/>
              </w:rPr>
              <w:t>13271-2014</w:t>
            </w:r>
            <w:r>
              <w:rPr>
                <w:bCs/>
                <w:color w:val="auto"/>
              </w:rPr>
              <w:t>）</w:t>
            </w:r>
            <w:r>
              <w:rPr>
                <w:rFonts w:hint="eastAsia"/>
                <w:bCs/>
                <w:color w:val="auto"/>
              </w:rPr>
              <w:t>中表2标准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continue"/>
            <w:tcBorders>
              <w:tl2br w:val="nil"/>
              <w:tr2bl w:val="nil"/>
            </w:tcBorders>
            <w:vAlign w:val="center"/>
          </w:tcPr>
          <w:p>
            <w:pPr>
              <w:adjustRightInd w:val="0"/>
              <w:snapToGrid w:val="0"/>
              <w:jc w:val="center"/>
              <w:rPr>
                <w:bCs/>
                <w:color w:val="auto"/>
              </w:rPr>
            </w:pPr>
          </w:p>
        </w:tc>
        <w:tc>
          <w:tcPr>
            <w:tcW w:w="1410" w:type="dxa"/>
            <w:tcBorders>
              <w:tl2br w:val="nil"/>
              <w:tr2bl w:val="nil"/>
            </w:tcBorders>
            <w:vAlign w:val="center"/>
          </w:tcPr>
          <w:p>
            <w:pPr>
              <w:adjustRightInd w:val="0"/>
              <w:snapToGrid w:val="0"/>
              <w:jc w:val="center"/>
              <w:rPr>
                <w:bCs/>
                <w:color w:val="auto"/>
              </w:rPr>
            </w:pPr>
            <w:r>
              <w:rPr>
                <w:rFonts w:hint="eastAsia"/>
                <w:bCs/>
                <w:color w:val="auto"/>
              </w:rPr>
              <w:t>二氧化硫</w:t>
            </w:r>
          </w:p>
        </w:tc>
        <w:tc>
          <w:tcPr>
            <w:tcW w:w="3000" w:type="dxa"/>
            <w:vMerge w:val="continue"/>
            <w:tcBorders>
              <w:tl2br w:val="nil"/>
              <w:tr2bl w:val="nil"/>
            </w:tcBorders>
            <w:vAlign w:val="center"/>
          </w:tcPr>
          <w:p>
            <w:pPr>
              <w:adjustRightInd w:val="0"/>
              <w:snapToGrid w:val="0"/>
              <w:jc w:val="center"/>
              <w:rPr>
                <w:bCs/>
                <w:color w:val="auto"/>
              </w:rPr>
            </w:pPr>
          </w:p>
        </w:tc>
        <w:tc>
          <w:tcPr>
            <w:tcW w:w="2182" w:type="dxa"/>
            <w:vMerge w:val="continue"/>
            <w:tcBorders>
              <w:tl2br w:val="nil"/>
              <w:tr2bl w:val="nil"/>
            </w:tcBorders>
            <w:vAlign w:val="center"/>
          </w:tcPr>
          <w:p>
            <w:pPr>
              <w:adjustRightInd w:val="0"/>
              <w:snapToGrid w:val="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continue"/>
            <w:tcBorders>
              <w:tl2br w:val="nil"/>
              <w:tr2bl w:val="nil"/>
            </w:tcBorders>
            <w:vAlign w:val="center"/>
          </w:tcPr>
          <w:p>
            <w:pPr>
              <w:adjustRightInd w:val="0"/>
              <w:snapToGrid w:val="0"/>
              <w:jc w:val="center"/>
              <w:rPr>
                <w:bCs/>
                <w:color w:val="auto"/>
              </w:rPr>
            </w:pPr>
          </w:p>
        </w:tc>
        <w:tc>
          <w:tcPr>
            <w:tcW w:w="1410" w:type="dxa"/>
            <w:tcBorders>
              <w:tl2br w:val="nil"/>
              <w:tr2bl w:val="nil"/>
            </w:tcBorders>
            <w:vAlign w:val="center"/>
          </w:tcPr>
          <w:p>
            <w:pPr>
              <w:adjustRightInd w:val="0"/>
              <w:snapToGrid w:val="0"/>
              <w:jc w:val="center"/>
              <w:rPr>
                <w:bCs/>
                <w:color w:val="auto"/>
              </w:rPr>
            </w:pPr>
            <w:r>
              <w:rPr>
                <w:rFonts w:hint="eastAsia"/>
                <w:bCs/>
                <w:color w:val="auto"/>
              </w:rPr>
              <w:t>氮氧化物</w:t>
            </w:r>
          </w:p>
        </w:tc>
        <w:tc>
          <w:tcPr>
            <w:tcW w:w="3000" w:type="dxa"/>
            <w:vMerge w:val="continue"/>
            <w:tcBorders>
              <w:tl2br w:val="nil"/>
              <w:tr2bl w:val="nil"/>
            </w:tcBorders>
            <w:vAlign w:val="center"/>
          </w:tcPr>
          <w:p>
            <w:pPr>
              <w:adjustRightInd w:val="0"/>
              <w:snapToGrid w:val="0"/>
              <w:jc w:val="center"/>
              <w:rPr>
                <w:bCs/>
                <w:color w:val="auto"/>
              </w:rPr>
            </w:pPr>
          </w:p>
        </w:tc>
        <w:tc>
          <w:tcPr>
            <w:tcW w:w="2182" w:type="dxa"/>
            <w:vMerge w:val="continue"/>
            <w:tcBorders>
              <w:tl2br w:val="nil"/>
              <w:tr2bl w:val="nil"/>
            </w:tcBorders>
            <w:vAlign w:val="center"/>
          </w:tcPr>
          <w:p>
            <w:pPr>
              <w:adjustRightInd w:val="0"/>
              <w:snapToGrid w:val="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restart"/>
            <w:tcBorders>
              <w:tl2br w:val="nil"/>
              <w:tr2bl w:val="nil"/>
            </w:tcBorders>
            <w:vAlign w:val="center"/>
          </w:tcPr>
          <w:p>
            <w:pPr>
              <w:adjustRightInd w:val="0"/>
              <w:snapToGrid w:val="0"/>
              <w:jc w:val="center"/>
              <w:rPr>
                <w:bCs/>
                <w:color w:val="auto"/>
              </w:rPr>
            </w:pPr>
            <w:r>
              <w:rPr>
                <w:rFonts w:hint="eastAsia"/>
                <w:bCs/>
                <w:color w:val="auto"/>
              </w:rPr>
              <w:t>烘干滚筒、燃烧器、热骨料仓（DA002）</w:t>
            </w:r>
          </w:p>
        </w:tc>
        <w:tc>
          <w:tcPr>
            <w:tcW w:w="1410" w:type="dxa"/>
            <w:tcBorders>
              <w:tl2br w:val="nil"/>
              <w:tr2bl w:val="nil"/>
            </w:tcBorders>
            <w:vAlign w:val="center"/>
          </w:tcPr>
          <w:p>
            <w:pPr>
              <w:adjustRightInd w:val="0"/>
              <w:snapToGrid w:val="0"/>
              <w:jc w:val="center"/>
              <w:rPr>
                <w:bCs/>
                <w:color w:val="auto"/>
              </w:rPr>
            </w:pPr>
            <w:r>
              <w:rPr>
                <w:rFonts w:hint="eastAsia"/>
                <w:bCs/>
                <w:color w:val="auto"/>
              </w:rPr>
              <w:t>颗粒物</w:t>
            </w:r>
          </w:p>
        </w:tc>
        <w:tc>
          <w:tcPr>
            <w:tcW w:w="3000" w:type="dxa"/>
            <w:vMerge w:val="restart"/>
            <w:tcBorders>
              <w:tl2br w:val="nil"/>
              <w:tr2bl w:val="nil"/>
            </w:tcBorders>
            <w:vAlign w:val="center"/>
          </w:tcPr>
          <w:p>
            <w:pPr>
              <w:adjustRightInd w:val="0"/>
              <w:snapToGrid w:val="0"/>
              <w:jc w:val="center"/>
              <w:rPr>
                <w:bCs/>
                <w:color w:val="auto"/>
              </w:rPr>
            </w:pPr>
            <w:r>
              <w:rPr>
                <w:rFonts w:hint="eastAsia"/>
                <w:bCs/>
                <w:color w:val="auto"/>
                <w:lang w:val="en-US" w:eastAsia="zh-CN"/>
              </w:rPr>
              <w:t>旋风+</w:t>
            </w:r>
            <w:r>
              <w:rPr>
                <w:rFonts w:hint="eastAsia"/>
                <w:bCs/>
                <w:color w:val="auto"/>
              </w:rPr>
              <w:t>布袋除尘+</w:t>
            </w:r>
            <w:r>
              <w:rPr>
                <w:rFonts w:hint="eastAsia"/>
                <w:bCs/>
                <w:color w:val="auto"/>
                <w:lang w:val="en-US" w:eastAsia="zh-CN"/>
              </w:rPr>
              <w:t>15</w:t>
            </w:r>
            <w:r>
              <w:rPr>
                <w:rFonts w:hint="eastAsia"/>
                <w:bCs/>
                <w:color w:val="auto"/>
              </w:rPr>
              <w:t>m高排气筒</w:t>
            </w:r>
          </w:p>
        </w:tc>
        <w:tc>
          <w:tcPr>
            <w:tcW w:w="2182" w:type="dxa"/>
            <w:vMerge w:val="restart"/>
            <w:tcBorders>
              <w:tl2br w:val="nil"/>
              <w:tr2bl w:val="nil"/>
            </w:tcBorders>
            <w:vAlign w:val="center"/>
          </w:tcPr>
          <w:p>
            <w:pPr>
              <w:adjustRightInd w:val="0"/>
              <w:snapToGrid w:val="0"/>
              <w:jc w:val="center"/>
              <w:rPr>
                <w:bCs/>
                <w:color w:val="auto"/>
              </w:rPr>
            </w:pPr>
            <w:r>
              <w:rPr>
                <w:rFonts w:hint="eastAsia"/>
                <w:bCs/>
                <w:color w:val="auto"/>
              </w:rPr>
              <w:t>《大气污染物综合排放标准》（GB16297-1996）中表2标准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continue"/>
            <w:tcBorders>
              <w:tl2br w:val="nil"/>
              <w:tr2bl w:val="nil"/>
            </w:tcBorders>
            <w:vAlign w:val="center"/>
          </w:tcPr>
          <w:p>
            <w:pPr>
              <w:adjustRightInd w:val="0"/>
              <w:snapToGrid w:val="0"/>
              <w:jc w:val="center"/>
              <w:rPr>
                <w:bCs/>
                <w:color w:val="auto"/>
              </w:rPr>
            </w:pPr>
          </w:p>
        </w:tc>
        <w:tc>
          <w:tcPr>
            <w:tcW w:w="1410" w:type="dxa"/>
            <w:tcBorders>
              <w:tl2br w:val="nil"/>
              <w:tr2bl w:val="nil"/>
            </w:tcBorders>
            <w:vAlign w:val="center"/>
          </w:tcPr>
          <w:p>
            <w:pPr>
              <w:adjustRightInd w:val="0"/>
              <w:snapToGrid w:val="0"/>
              <w:jc w:val="center"/>
              <w:rPr>
                <w:bCs/>
                <w:color w:val="auto"/>
              </w:rPr>
            </w:pPr>
            <w:r>
              <w:rPr>
                <w:rFonts w:hint="eastAsia"/>
                <w:bCs/>
                <w:color w:val="auto"/>
              </w:rPr>
              <w:t>二氧化硫</w:t>
            </w:r>
          </w:p>
        </w:tc>
        <w:tc>
          <w:tcPr>
            <w:tcW w:w="3000" w:type="dxa"/>
            <w:vMerge w:val="continue"/>
            <w:tcBorders>
              <w:tl2br w:val="nil"/>
              <w:tr2bl w:val="nil"/>
            </w:tcBorders>
            <w:vAlign w:val="center"/>
          </w:tcPr>
          <w:p>
            <w:pPr>
              <w:adjustRightInd w:val="0"/>
              <w:snapToGrid w:val="0"/>
              <w:jc w:val="center"/>
              <w:rPr>
                <w:bCs/>
                <w:color w:val="auto"/>
              </w:rPr>
            </w:pPr>
          </w:p>
        </w:tc>
        <w:tc>
          <w:tcPr>
            <w:tcW w:w="2182" w:type="dxa"/>
            <w:vMerge w:val="continue"/>
            <w:tcBorders>
              <w:tl2br w:val="nil"/>
              <w:tr2bl w:val="nil"/>
            </w:tcBorders>
            <w:vAlign w:val="center"/>
          </w:tcPr>
          <w:p>
            <w:pPr>
              <w:adjustRightInd w:val="0"/>
              <w:snapToGrid w:val="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continue"/>
            <w:tcBorders>
              <w:tl2br w:val="nil"/>
              <w:tr2bl w:val="nil"/>
            </w:tcBorders>
            <w:vAlign w:val="center"/>
          </w:tcPr>
          <w:p>
            <w:pPr>
              <w:adjustRightInd w:val="0"/>
              <w:snapToGrid w:val="0"/>
              <w:jc w:val="center"/>
              <w:rPr>
                <w:bCs/>
                <w:color w:val="auto"/>
              </w:rPr>
            </w:pPr>
          </w:p>
        </w:tc>
        <w:tc>
          <w:tcPr>
            <w:tcW w:w="1410" w:type="dxa"/>
            <w:tcBorders>
              <w:tl2br w:val="nil"/>
              <w:tr2bl w:val="nil"/>
            </w:tcBorders>
            <w:vAlign w:val="center"/>
          </w:tcPr>
          <w:p>
            <w:pPr>
              <w:adjustRightInd w:val="0"/>
              <w:snapToGrid w:val="0"/>
              <w:jc w:val="center"/>
              <w:rPr>
                <w:bCs/>
                <w:color w:val="auto"/>
              </w:rPr>
            </w:pPr>
            <w:r>
              <w:rPr>
                <w:rFonts w:hint="eastAsia"/>
                <w:bCs/>
                <w:color w:val="auto"/>
              </w:rPr>
              <w:t>氮氧化物</w:t>
            </w:r>
          </w:p>
        </w:tc>
        <w:tc>
          <w:tcPr>
            <w:tcW w:w="3000" w:type="dxa"/>
            <w:vMerge w:val="continue"/>
            <w:tcBorders>
              <w:tl2br w:val="nil"/>
              <w:tr2bl w:val="nil"/>
            </w:tcBorders>
            <w:vAlign w:val="center"/>
          </w:tcPr>
          <w:p>
            <w:pPr>
              <w:adjustRightInd w:val="0"/>
              <w:snapToGrid w:val="0"/>
              <w:jc w:val="center"/>
              <w:rPr>
                <w:bCs/>
                <w:color w:val="auto"/>
              </w:rPr>
            </w:pPr>
          </w:p>
        </w:tc>
        <w:tc>
          <w:tcPr>
            <w:tcW w:w="2182" w:type="dxa"/>
            <w:vMerge w:val="continue"/>
            <w:tcBorders>
              <w:tl2br w:val="nil"/>
              <w:tr2bl w:val="nil"/>
            </w:tcBorders>
            <w:vAlign w:val="center"/>
          </w:tcPr>
          <w:p>
            <w:pPr>
              <w:adjustRightInd w:val="0"/>
              <w:snapToGrid w:val="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restart"/>
            <w:tcBorders>
              <w:tl2br w:val="nil"/>
              <w:tr2bl w:val="nil"/>
            </w:tcBorders>
            <w:vAlign w:val="center"/>
          </w:tcPr>
          <w:p>
            <w:pPr>
              <w:adjustRightInd w:val="0"/>
              <w:snapToGrid w:val="0"/>
              <w:jc w:val="center"/>
              <w:rPr>
                <w:bCs/>
                <w:color w:val="auto"/>
              </w:rPr>
            </w:pPr>
            <w:r>
              <w:rPr>
                <w:rFonts w:hint="eastAsia"/>
                <w:bCs/>
                <w:color w:val="auto"/>
              </w:rPr>
              <w:t>沥青搅拌（DA003）</w:t>
            </w:r>
          </w:p>
        </w:tc>
        <w:tc>
          <w:tcPr>
            <w:tcW w:w="1410" w:type="dxa"/>
            <w:tcBorders>
              <w:tl2br w:val="nil"/>
              <w:tr2bl w:val="nil"/>
            </w:tcBorders>
            <w:shd w:val="clear" w:color="auto" w:fill="auto"/>
            <w:vAlign w:val="center"/>
          </w:tcPr>
          <w:p>
            <w:pPr>
              <w:adjustRightInd w:val="0"/>
              <w:snapToGrid w:val="0"/>
              <w:jc w:val="center"/>
              <w:rPr>
                <w:bCs/>
                <w:color w:val="auto"/>
              </w:rPr>
            </w:pPr>
            <w:r>
              <w:rPr>
                <w:rFonts w:hint="eastAsia"/>
                <w:bCs/>
                <w:color w:val="auto"/>
              </w:rPr>
              <w:t>沥青烟</w:t>
            </w:r>
          </w:p>
        </w:tc>
        <w:tc>
          <w:tcPr>
            <w:tcW w:w="3000" w:type="dxa"/>
            <w:vMerge w:val="restart"/>
            <w:tcBorders>
              <w:tl2br w:val="nil"/>
              <w:tr2bl w:val="nil"/>
            </w:tcBorders>
            <w:vAlign w:val="center"/>
          </w:tcPr>
          <w:p>
            <w:pPr>
              <w:adjustRightInd w:val="0"/>
              <w:snapToGrid w:val="0"/>
              <w:jc w:val="center"/>
              <w:rPr>
                <w:bCs/>
                <w:color w:val="auto"/>
              </w:rPr>
            </w:pPr>
            <w:r>
              <w:rPr>
                <w:rFonts w:hint="eastAsia"/>
                <w:bCs/>
                <w:color w:val="auto"/>
                <w:lang w:val="en-US" w:eastAsia="zh-CN"/>
              </w:rPr>
              <w:t>布袋除尘器+</w:t>
            </w:r>
            <w:r>
              <w:rPr>
                <w:rFonts w:hint="eastAsia"/>
                <w:bCs/>
                <w:color w:val="auto"/>
              </w:rPr>
              <w:t>活性炭吸附装置+</w:t>
            </w:r>
            <w:r>
              <w:rPr>
                <w:rFonts w:hint="eastAsia"/>
                <w:bCs/>
                <w:color w:val="auto"/>
                <w:lang w:val="en-US" w:eastAsia="zh-CN"/>
              </w:rPr>
              <w:t>15</w:t>
            </w:r>
            <w:r>
              <w:rPr>
                <w:rFonts w:hint="eastAsia"/>
                <w:bCs/>
                <w:color w:val="auto"/>
              </w:rPr>
              <w:t>m高排气筒</w:t>
            </w:r>
          </w:p>
        </w:tc>
        <w:tc>
          <w:tcPr>
            <w:tcW w:w="2182" w:type="dxa"/>
            <w:vMerge w:val="continue"/>
            <w:tcBorders>
              <w:tl2br w:val="nil"/>
              <w:tr2bl w:val="nil"/>
            </w:tcBorders>
            <w:vAlign w:val="center"/>
          </w:tcPr>
          <w:p>
            <w:pPr>
              <w:adjustRightInd w:val="0"/>
              <w:snapToGrid w:val="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continue"/>
            <w:tcBorders>
              <w:tl2br w:val="nil"/>
              <w:tr2bl w:val="nil"/>
            </w:tcBorders>
            <w:vAlign w:val="center"/>
          </w:tcPr>
          <w:p>
            <w:pPr>
              <w:adjustRightInd w:val="0"/>
              <w:snapToGrid w:val="0"/>
              <w:jc w:val="center"/>
              <w:rPr>
                <w:rFonts w:hint="eastAsia"/>
                <w:bCs/>
                <w:color w:val="auto"/>
              </w:rPr>
            </w:pPr>
          </w:p>
        </w:tc>
        <w:tc>
          <w:tcPr>
            <w:tcW w:w="1410" w:type="dxa"/>
            <w:tcBorders>
              <w:tl2br w:val="nil"/>
              <w:tr2bl w:val="nil"/>
            </w:tcBorders>
            <w:shd w:val="clear" w:color="auto" w:fill="auto"/>
            <w:vAlign w:val="center"/>
          </w:tcPr>
          <w:p>
            <w:pPr>
              <w:adjustRightInd w:val="0"/>
              <w:snapToGrid w:val="0"/>
              <w:jc w:val="center"/>
              <w:rPr>
                <w:rFonts w:hint="eastAsia" w:eastAsia="宋体"/>
                <w:bCs/>
                <w:color w:val="auto"/>
                <w:lang w:val="en-US" w:eastAsia="zh-CN"/>
              </w:rPr>
            </w:pPr>
            <w:r>
              <w:rPr>
                <w:rFonts w:hint="eastAsia"/>
                <w:bCs/>
                <w:color w:val="auto"/>
                <w:lang w:val="en-US" w:eastAsia="zh-CN"/>
              </w:rPr>
              <w:t>非甲烷总烃</w:t>
            </w:r>
          </w:p>
        </w:tc>
        <w:tc>
          <w:tcPr>
            <w:tcW w:w="3000" w:type="dxa"/>
            <w:vMerge w:val="continue"/>
            <w:tcBorders>
              <w:tl2br w:val="nil"/>
              <w:tr2bl w:val="nil"/>
            </w:tcBorders>
            <w:vAlign w:val="center"/>
          </w:tcPr>
          <w:p>
            <w:pPr>
              <w:adjustRightInd w:val="0"/>
              <w:snapToGrid w:val="0"/>
              <w:jc w:val="center"/>
              <w:rPr>
                <w:rFonts w:hint="eastAsia"/>
                <w:bCs/>
                <w:color w:val="auto"/>
              </w:rPr>
            </w:pPr>
          </w:p>
        </w:tc>
        <w:tc>
          <w:tcPr>
            <w:tcW w:w="2182" w:type="dxa"/>
            <w:vMerge w:val="continue"/>
            <w:tcBorders>
              <w:tl2br w:val="nil"/>
              <w:tr2bl w:val="nil"/>
            </w:tcBorders>
            <w:vAlign w:val="center"/>
          </w:tcPr>
          <w:p>
            <w:pPr>
              <w:adjustRightInd w:val="0"/>
              <w:snapToGrid w:val="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vMerge w:val="continue"/>
            <w:tcBorders>
              <w:tl2br w:val="nil"/>
              <w:tr2bl w:val="nil"/>
            </w:tcBorders>
            <w:vAlign w:val="center"/>
          </w:tcPr>
          <w:p>
            <w:pPr>
              <w:adjustRightInd w:val="0"/>
              <w:snapToGrid w:val="0"/>
              <w:jc w:val="center"/>
              <w:rPr>
                <w:bCs/>
                <w:color w:val="auto"/>
              </w:rPr>
            </w:pPr>
          </w:p>
        </w:tc>
        <w:tc>
          <w:tcPr>
            <w:tcW w:w="1410" w:type="dxa"/>
            <w:tcBorders>
              <w:tl2br w:val="nil"/>
              <w:tr2bl w:val="nil"/>
            </w:tcBorders>
            <w:shd w:val="clear" w:color="auto" w:fill="auto"/>
            <w:vAlign w:val="center"/>
          </w:tcPr>
          <w:p>
            <w:pPr>
              <w:adjustRightInd w:val="0"/>
              <w:snapToGrid w:val="0"/>
              <w:jc w:val="center"/>
              <w:rPr>
                <w:bCs/>
                <w:color w:val="auto"/>
              </w:rPr>
            </w:pPr>
            <w:r>
              <w:rPr>
                <w:color w:val="auto"/>
                <w:spacing w:val="5"/>
              </w:rPr>
              <w:t>苯并</w:t>
            </w:r>
            <w:r>
              <w:rPr>
                <w:rFonts w:eastAsia="Times New Roman"/>
                <w:color w:val="auto"/>
                <w:spacing w:val="5"/>
              </w:rPr>
              <w:t>[a]</w:t>
            </w:r>
            <w:r>
              <w:rPr>
                <w:color w:val="auto"/>
                <w:spacing w:val="5"/>
              </w:rPr>
              <w:t>芘</w:t>
            </w:r>
          </w:p>
        </w:tc>
        <w:tc>
          <w:tcPr>
            <w:tcW w:w="3000" w:type="dxa"/>
            <w:vMerge w:val="continue"/>
            <w:tcBorders>
              <w:tl2br w:val="nil"/>
              <w:tr2bl w:val="nil"/>
            </w:tcBorders>
            <w:vAlign w:val="center"/>
          </w:tcPr>
          <w:p>
            <w:pPr>
              <w:adjustRightInd w:val="0"/>
              <w:snapToGrid w:val="0"/>
              <w:jc w:val="center"/>
              <w:rPr>
                <w:bCs/>
                <w:color w:val="auto"/>
              </w:rPr>
            </w:pPr>
          </w:p>
        </w:tc>
        <w:tc>
          <w:tcPr>
            <w:tcW w:w="2182" w:type="dxa"/>
            <w:vMerge w:val="continue"/>
            <w:tcBorders>
              <w:tl2br w:val="nil"/>
              <w:tr2bl w:val="nil"/>
            </w:tcBorders>
            <w:vAlign w:val="center"/>
          </w:tcPr>
          <w:p>
            <w:pPr>
              <w:adjustRightInd w:val="0"/>
              <w:snapToGrid w:val="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tcBorders>
              <w:tl2br w:val="nil"/>
              <w:tr2bl w:val="nil"/>
            </w:tcBorders>
            <w:vAlign w:val="center"/>
          </w:tcPr>
          <w:p>
            <w:pPr>
              <w:adjustRightInd w:val="0"/>
              <w:snapToGrid w:val="0"/>
              <w:jc w:val="center"/>
              <w:rPr>
                <w:rFonts w:hint="eastAsia" w:eastAsia="宋体"/>
                <w:bCs/>
                <w:color w:val="auto"/>
                <w:lang w:eastAsia="zh-CN"/>
              </w:rPr>
            </w:pPr>
            <w:r>
              <w:rPr>
                <w:rFonts w:hint="eastAsia"/>
                <w:bCs/>
                <w:color w:val="auto"/>
              </w:rPr>
              <w:t>粉料筒仓</w:t>
            </w:r>
            <w:r>
              <w:rPr>
                <w:rFonts w:hint="eastAsia"/>
                <w:bCs/>
                <w:color w:val="auto"/>
                <w:lang w:eastAsia="zh-CN"/>
              </w:rPr>
              <w:t>（</w:t>
            </w:r>
            <w:r>
              <w:rPr>
                <w:rFonts w:hint="eastAsia"/>
                <w:bCs/>
                <w:color w:val="auto"/>
                <w:lang w:val="en-US" w:eastAsia="zh-CN"/>
              </w:rPr>
              <w:t>DA004</w:t>
            </w:r>
            <w:r>
              <w:rPr>
                <w:rFonts w:hint="eastAsia"/>
                <w:bCs/>
                <w:color w:val="auto"/>
                <w:lang w:eastAsia="zh-CN"/>
              </w:rPr>
              <w:t>）</w:t>
            </w:r>
          </w:p>
        </w:tc>
        <w:tc>
          <w:tcPr>
            <w:tcW w:w="1410" w:type="dxa"/>
            <w:tcBorders>
              <w:tl2br w:val="nil"/>
              <w:tr2bl w:val="nil"/>
            </w:tcBorders>
            <w:vAlign w:val="center"/>
          </w:tcPr>
          <w:p>
            <w:pPr>
              <w:adjustRightInd w:val="0"/>
              <w:snapToGrid w:val="0"/>
              <w:jc w:val="center"/>
              <w:rPr>
                <w:bCs/>
                <w:color w:val="auto"/>
              </w:rPr>
            </w:pPr>
            <w:r>
              <w:rPr>
                <w:rFonts w:hint="eastAsia"/>
                <w:bCs/>
                <w:color w:val="auto"/>
              </w:rPr>
              <w:t>颗粒物</w:t>
            </w:r>
          </w:p>
        </w:tc>
        <w:tc>
          <w:tcPr>
            <w:tcW w:w="3000" w:type="dxa"/>
            <w:tcBorders>
              <w:tl2br w:val="nil"/>
              <w:tr2bl w:val="nil"/>
            </w:tcBorders>
            <w:vAlign w:val="center"/>
          </w:tcPr>
          <w:p>
            <w:pPr>
              <w:adjustRightInd w:val="0"/>
              <w:snapToGrid w:val="0"/>
              <w:jc w:val="center"/>
              <w:rPr>
                <w:rFonts w:hint="default" w:eastAsia="宋体"/>
                <w:bCs/>
                <w:color w:val="auto"/>
                <w:lang w:val="en-US" w:eastAsia="zh-CN"/>
              </w:rPr>
            </w:pPr>
            <w:r>
              <w:rPr>
                <w:rFonts w:hint="eastAsia"/>
                <w:bCs/>
                <w:color w:val="auto"/>
              </w:rPr>
              <w:t>仓顶自带脉冲袋式除尘装置</w:t>
            </w:r>
            <w:r>
              <w:rPr>
                <w:rFonts w:hint="eastAsia"/>
                <w:bCs/>
                <w:color w:val="auto"/>
                <w:lang w:val="en-US" w:eastAsia="zh-CN"/>
              </w:rPr>
              <w:t>+20m高排气筒</w:t>
            </w:r>
          </w:p>
        </w:tc>
        <w:tc>
          <w:tcPr>
            <w:tcW w:w="2182" w:type="dxa"/>
            <w:tcBorders>
              <w:tl2br w:val="nil"/>
              <w:tr2bl w:val="nil"/>
            </w:tcBorders>
            <w:vAlign w:val="center"/>
          </w:tcPr>
          <w:p>
            <w:pPr>
              <w:adjustRightInd w:val="0"/>
              <w:snapToGrid w:val="0"/>
              <w:jc w:val="center"/>
              <w:rPr>
                <w:bCs/>
                <w:color w:val="auto"/>
              </w:rPr>
            </w:pPr>
            <w:r>
              <w:rPr>
                <w:rFonts w:hint="eastAsia"/>
                <w:bCs/>
                <w:color w:val="auto"/>
              </w:rPr>
              <w:t>《大气污染物综合排放标准》（GB16297-1996）中表2标准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vMerge w:val="continue"/>
            <w:tcBorders>
              <w:tl2br w:val="nil"/>
              <w:tr2bl w:val="nil"/>
            </w:tcBorders>
            <w:vAlign w:val="center"/>
          </w:tcPr>
          <w:p>
            <w:pPr>
              <w:jc w:val="center"/>
              <w:rPr>
                <w:color w:val="auto"/>
              </w:rPr>
            </w:pPr>
          </w:p>
        </w:tc>
        <w:tc>
          <w:tcPr>
            <w:tcW w:w="148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auto"/>
                <w:lang w:val="en-US" w:eastAsia="zh-CN"/>
              </w:rPr>
            </w:pPr>
            <w:r>
              <w:rPr>
                <w:rFonts w:hint="default" w:ascii="Times New Roman" w:hAnsi="Times New Roman" w:cs="Times New Roman"/>
                <w:color w:val="auto"/>
                <w:szCs w:val="21"/>
              </w:rPr>
              <w:t>无组织废气</w:t>
            </w:r>
          </w:p>
        </w:tc>
        <w:tc>
          <w:tcPr>
            <w:tcW w:w="1410"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bCs/>
                <w:color w:val="auto"/>
              </w:rPr>
            </w:pPr>
            <w:r>
              <w:rPr>
                <w:rFonts w:hint="default" w:ascii="Times New Roman" w:hAnsi="Times New Roman" w:cs="Times New Roman"/>
                <w:color w:val="auto"/>
                <w:szCs w:val="21"/>
              </w:rPr>
              <w:t>颗粒物、沥青烟、苯并[a]芘、非甲烷总烃</w:t>
            </w:r>
          </w:p>
        </w:tc>
        <w:tc>
          <w:tcPr>
            <w:tcW w:w="3000"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bCs/>
                <w:color w:val="auto"/>
              </w:rPr>
            </w:pPr>
            <w:r>
              <w:rPr>
                <w:rFonts w:hint="eastAsia" w:ascii="Times New Roman" w:hAnsi="Times New Roman" w:cs="Times New Roman"/>
                <w:color w:val="auto"/>
                <w:szCs w:val="21"/>
              </w:rPr>
              <w:t>厂房密闭，洒水</w:t>
            </w:r>
            <w:r>
              <w:rPr>
                <w:rFonts w:hint="default" w:ascii="Times New Roman" w:hAnsi="Times New Roman" w:cs="Times New Roman"/>
                <w:color w:val="auto"/>
                <w:szCs w:val="21"/>
              </w:rPr>
              <w:t>降尘</w:t>
            </w:r>
          </w:p>
        </w:tc>
        <w:tc>
          <w:tcPr>
            <w:tcW w:w="218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挥发性有机物无组织排放控制标准</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GB37822-2019）、《大气污染物综合排放标准》（GB16297-1996）中表2标准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jc w:val="center"/>
              <w:rPr>
                <w:color w:val="auto"/>
              </w:rPr>
            </w:pPr>
            <w:r>
              <w:rPr>
                <w:color w:val="auto"/>
              </w:rPr>
              <w:t>地表水环境</w:t>
            </w:r>
          </w:p>
        </w:tc>
        <w:tc>
          <w:tcPr>
            <w:tcW w:w="1483" w:type="dxa"/>
            <w:tcBorders>
              <w:tl2br w:val="nil"/>
              <w:tr2bl w:val="nil"/>
            </w:tcBorders>
            <w:shd w:val="clear" w:color="auto" w:fill="auto"/>
            <w:vAlign w:val="center"/>
          </w:tcPr>
          <w:p>
            <w:pPr>
              <w:jc w:val="center"/>
              <w:rPr>
                <w:color w:val="auto"/>
                <w:kern w:val="1"/>
              </w:rPr>
            </w:pPr>
            <w:r>
              <w:rPr>
                <w:color w:val="auto"/>
              </w:rPr>
              <w:t>生活污水</w:t>
            </w:r>
          </w:p>
        </w:tc>
        <w:tc>
          <w:tcPr>
            <w:tcW w:w="1410" w:type="dxa"/>
            <w:tcBorders>
              <w:tl2br w:val="nil"/>
              <w:tr2bl w:val="nil"/>
            </w:tcBorders>
            <w:shd w:val="clear" w:color="auto" w:fill="auto"/>
            <w:vAlign w:val="center"/>
          </w:tcPr>
          <w:p>
            <w:pPr>
              <w:pStyle w:val="91"/>
              <w:spacing w:before="24" w:after="24" w:line="240" w:lineRule="auto"/>
              <w:rPr>
                <w:rFonts w:hint="default"/>
                <w:color w:val="auto"/>
                <w:kern w:val="1"/>
                <w:sz w:val="24"/>
                <w:szCs w:val="24"/>
              </w:rPr>
            </w:pPr>
            <w:r>
              <w:rPr>
                <w:color w:val="auto"/>
                <w:kern w:val="1"/>
                <w:sz w:val="24"/>
                <w:szCs w:val="24"/>
              </w:rPr>
              <w:t>COD、氨氮</w:t>
            </w:r>
          </w:p>
        </w:tc>
        <w:tc>
          <w:tcPr>
            <w:tcW w:w="3000" w:type="dxa"/>
            <w:tcBorders>
              <w:tl2br w:val="nil"/>
              <w:tr2bl w:val="nil"/>
            </w:tcBorders>
            <w:shd w:val="clear" w:color="auto" w:fill="auto"/>
            <w:vAlign w:val="center"/>
          </w:tcPr>
          <w:p>
            <w:pPr>
              <w:pStyle w:val="91"/>
              <w:spacing w:before="24" w:after="24" w:line="240" w:lineRule="auto"/>
              <w:rPr>
                <w:rFonts w:hint="default"/>
                <w:color w:val="auto"/>
                <w:kern w:val="1"/>
                <w:sz w:val="24"/>
                <w:szCs w:val="24"/>
              </w:rPr>
            </w:pPr>
            <w:r>
              <w:rPr>
                <w:rFonts w:hint="default"/>
                <w:color w:val="auto"/>
                <w:sz w:val="24"/>
                <w:szCs w:val="24"/>
              </w:rPr>
              <w:t>生活污水排入防渗</w:t>
            </w:r>
            <w:r>
              <w:rPr>
                <w:rFonts w:hint="eastAsia"/>
                <w:color w:val="auto"/>
                <w:sz w:val="24"/>
                <w:szCs w:val="24"/>
                <w:lang w:val="en-US" w:eastAsia="zh-CN"/>
              </w:rPr>
              <w:t>旱厕</w:t>
            </w:r>
            <w:r>
              <w:rPr>
                <w:rFonts w:hint="default"/>
                <w:color w:val="auto"/>
                <w:sz w:val="24"/>
                <w:szCs w:val="24"/>
              </w:rPr>
              <w:t>，定期清掏堆肥</w:t>
            </w:r>
          </w:p>
        </w:tc>
        <w:tc>
          <w:tcPr>
            <w:tcW w:w="2182" w:type="dxa"/>
            <w:tcBorders>
              <w:tl2br w:val="nil"/>
              <w:tr2bl w:val="nil"/>
            </w:tcBorders>
            <w:shd w:val="clear" w:color="auto" w:fill="auto"/>
            <w:vAlign w:val="center"/>
          </w:tcPr>
          <w:p>
            <w:pPr>
              <w:adjustRightInd w:val="0"/>
              <w:snapToGrid w:val="0"/>
              <w:jc w:val="center"/>
              <w:rPr>
                <w:color w:val="auto"/>
                <w:kern w:val="1"/>
                <w:szCs w:val="21"/>
              </w:rPr>
            </w:pPr>
            <w:r>
              <w:rPr>
                <w:rFonts w:hint="eastAsia"/>
                <w:color w:val="auto"/>
                <w:kern w:val="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jc w:val="center"/>
              <w:rPr>
                <w:color w:val="auto"/>
              </w:rPr>
            </w:pPr>
            <w:r>
              <w:rPr>
                <w:color w:val="auto"/>
              </w:rPr>
              <w:t>声环境</w:t>
            </w:r>
          </w:p>
        </w:tc>
        <w:tc>
          <w:tcPr>
            <w:tcW w:w="1483" w:type="dxa"/>
            <w:tcBorders>
              <w:tl2br w:val="nil"/>
              <w:tr2bl w:val="nil"/>
            </w:tcBorders>
            <w:vAlign w:val="center"/>
          </w:tcPr>
          <w:p>
            <w:pPr>
              <w:adjustRightInd w:val="0"/>
              <w:snapToGrid w:val="0"/>
              <w:jc w:val="center"/>
              <w:rPr>
                <w:color w:val="auto"/>
                <w:kern w:val="1"/>
                <w:szCs w:val="21"/>
              </w:rPr>
            </w:pPr>
            <w:r>
              <w:rPr>
                <w:rFonts w:hint="eastAsia"/>
                <w:color w:val="auto"/>
              </w:rPr>
              <w:t>生产设备</w:t>
            </w:r>
          </w:p>
        </w:tc>
        <w:tc>
          <w:tcPr>
            <w:tcW w:w="1410" w:type="dxa"/>
            <w:tcBorders>
              <w:tl2br w:val="nil"/>
              <w:tr2bl w:val="nil"/>
            </w:tcBorders>
            <w:vAlign w:val="center"/>
          </w:tcPr>
          <w:p>
            <w:pPr>
              <w:adjustRightInd w:val="0"/>
              <w:snapToGrid w:val="0"/>
              <w:jc w:val="center"/>
              <w:rPr>
                <w:color w:val="auto"/>
                <w:kern w:val="1"/>
                <w:szCs w:val="21"/>
              </w:rPr>
            </w:pPr>
            <w:r>
              <w:rPr>
                <w:color w:val="auto"/>
                <w:kern w:val="1"/>
                <w:szCs w:val="21"/>
              </w:rPr>
              <w:t>噪声</w:t>
            </w:r>
          </w:p>
        </w:tc>
        <w:tc>
          <w:tcPr>
            <w:tcW w:w="3000" w:type="dxa"/>
            <w:tcBorders>
              <w:tl2br w:val="nil"/>
              <w:tr2bl w:val="nil"/>
            </w:tcBorders>
            <w:vAlign w:val="center"/>
          </w:tcPr>
          <w:p>
            <w:pPr>
              <w:adjustRightInd w:val="0"/>
              <w:snapToGrid w:val="0"/>
              <w:jc w:val="center"/>
              <w:rPr>
                <w:color w:val="auto"/>
                <w:kern w:val="1"/>
                <w:szCs w:val="21"/>
              </w:rPr>
            </w:pPr>
            <w:r>
              <w:rPr>
                <w:color w:val="auto"/>
                <w:kern w:val="1"/>
                <w:szCs w:val="21"/>
              </w:rPr>
              <w:t>选用低设备，采取加装隔声罩、基础减振、隔声等措施</w:t>
            </w:r>
          </w:p>
        </w:tc>
        <w:tc>
          <w:tcPr>
            <w:tcW w:w="2182" w:type="dxa"/>
            <w:tcBorders>
              <w:tl2br w:val="nil"/>
              <w:tr2bl w:val="nil"/>
            </w:tcBorders>
            <w:vAlign w:val="center"/>
          </w:tcPr>
          <w:p>
            <w:pPr>
              <w:adjustRightInd w:val="0"/>
              <w:snapToGrid w:val="0"/>
              <w:jc w:val="center"/>
              <w:rPr>
                <w:color w:val="auto"/>
                <w:kern w:val="1"/>
                <w:szCs w:val="21"/>
              </w:rPr>
            </w:pPr>
            <w:r>
              <w:rPr>
                <w:rFonts w:hint="eastAsia"/>
                <w:color w:val="auto"/>
              </w:rPr>
              <w:t>厂界西侧噪声满足《工业企业厂界环境噪声排放标准》（GB123448-2008）表1中4类标准要求，东侧、南侧、北侧满足《工业企业厂界环境噪声排放标准》（GB123448-2008）表1中2类标准要求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jc w:val="center"/>
              <w:rPr>
                <w:color w:val="auto"/>
              </w:rPr>
            </w:pPr>
            <w:r>
              <w:rPr>
                <w:color w:val="auto"/>
              </w:rPr>
              <w:t>电磁辐射</w:t>
            </w:r>
          </w:p>
        </w:tc>
        <w:tc>
          <w:tcPr>
            <w:tcW w:w="1483" w:type="dxa"/>
            <w:tcBorders>
              <w:tl2br w:val="nil"/>
              <w:tr2bl w:val="nil"/>
            </w:tcBorders>
            <w:vAlign w:val="center"/>
          </w:tcPr>
          <w:p>
            <w:pPr>
              <w:adjustRightInd w:val="0"/>
              <w:snapToGrid w:val="0"/>
              <w:jc w:val="center"/>
              <w:rPr>
                <w:color w:val="auto"/>
                <w:kern w:val="1"/>
                <w:szCs w:val="21"/>
              </w:rPr>
            </w:pPr>
            <w:r>
              <w:rPr>
                <w:color w:val="auto"/>
                <w:kern w:val="1"/>
                <w:szCs w:val="21"/>
              </w:rPr>
              <w:t>/</w:t>
            </w:r>
          </w:p>
        </w:tc>
        <w:tc>
          <w:tcPr>
            <w:tcW w:w="1410" w:type="dxa"/>
            <w:tcBorders>
              <w:tl2br w:val="nil"/>
              <w:tr2bl w:val="nil"/>
            </w:tcBorders>
            <w:vAlign w:val="center"/>
          </w:tcPr>
          <w:p>
            <w:pPr>
              <w:adjustRightInd w:val="0"/>
              <w:snapToGrid w:val="0"/>
              <w:jc w:val="center"/>
              <w:rPr>
                <w:color w:val="auto"/>
                <w:kern w:val="1"/>
                <w:szCs w:val="21"/>
              </w:rPr>
            </w:pPr>
            <w:r>
              <w:rPr>
                <w:color w:val="auto"/>
                <w:kern w:val="1"/>
                <w:szCs w:val="21"/>
              </w:rPr>
              <w:t>/</w:t>
            </w:r>
          </w:p>
        </w:tc>
        <w:tc>
          <w:tcPr>
            <w:tcW w:w="3000" w:type="dxa"/>
            <w:tcBorders>
              <w:tl2br w:val="nil"/>
              <w:tr2bl w:val="nil"/>
            </w:tcBorders>
            <w:vAlign w:val="center"/>
          </w:tcPr>
          <w:p>
            <w:pPr>
              <w:adjustRightInd w:val="0"/>
              <w:snapToGrid w:val="0"/>
              <w:jc w:val="center"/>
              <w:rPr>
                <w:color w:val="auto"/>
                <w:kern w:val="1"/>
                <w:szCs w:val="21"/>
              </w:rPr>
            </w:pPr>
            <w:r>
              <w:rPr>
                <w:color w:val="auto"/>
                <w:kern w:val="1"/>
                <w:szCs w:val="21"/>
              </w:rPr>
              <w:t>/</w:t>
            </w:r>
          </w:p>
        </w:tc>
        <w:tc>
          <w:tcPr>
            <w:tcW w:w="2182" w:type="dxa"/>
            <w:tcBorders>
              <w:tl2br w:val="nil"/>
              <w:tr2bl w:val="nil"/>
            </w:tcBorders>
            <w:vAlign w:val="center"/>
          </w:tcPr>
          <w:p>
            <w:pPr>
              <w:adjustRightInd w:val="0"/>
              <w:snapToGrid w:val="0"/>
              <w:jc w:val="center"/>
              <w:rPr>
                <w:color w:val="auto"/>
                <w:kern w:val="1"/>
                <w:szCs w:val="21"/>
              </w:rPr>
            </w:pPr>
            <w:r>
              <w:rPr>
                <w:color w:val="auto"/>
                <w:kern w:val="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jc w:val="center"/>
              <w:rPr>
                <w:color w:val="auto"/>
              </w:rPr>
            </w:pPr>
            <w:r>
              <w:rPr>
                <w:color w:val="auto"/>
              </w:rPr>
              <w:t>固体废物</w:t>
            </w:r>
          </w:p>
        </w:tc>
        <w:tc>
          <w:tcPr>
            <w:tcW w:w="8075" w:type="dxa"/>
            <w:gridSpan w:val="4"/>
            <w:tcBorders>
              <w:tl2br w:val="nil"/>
              <w:tr2bl w:val="nil"/>
            </w:tcBorders>
            <w:vAlign w:val="center"/>
          </w:tcPr>
          <w:p>
            <w:pPr>
              <w:adjustRightInd w:val="0"/>
              <w:snapToGrid w:val="0"/>
              <w:spacing w:line="360" w:lineRule="auto"/>
              <w:ind w:firstLine="480" w:firstLineChars="200"/>
              <w:rPr>
                <w:color w:val="auto"/>
                <w:kern w:val="1"/>
                <w:szCs w:val="21"/>
              </w:rPr>
            </w:pPr>
            <w:r>
              <w:rPr>
                <w:rFonts w:hint="eastAsia"/>
                <w:color w:val="auto"/>
                <w:kern w:val="1"/>
                <w:szCs w:val="21"/>
              </w:rPr>
              <w:t>生活垃圾由市政环卫部门统一处理；废石料由厂家回收；除尘器收集粉尘回用于生产；灰渣外售综合利用；滴漏沥青及</w:t>
            </w:r>
            <w:r>
              <w:rPr>
                <w:rFonts w:hint="eastAsia"/>
                <w:color w:val="auto"/>
                <w:kern w:val="1"/>
                <w:szCs w:val="21"/>
                <w:lang w:eastAsia="zh-CN"/>
              </w:rPr>
              <w:t>拌和</w:t>
            </w:r>
            <w:r>
              <w:rPr>
                <w:rFonts w:hint="eastAsia"/>
                <w:color w:val="auto"/>
                <w:kern w:val="1"/>
                <w:szCs w:val="21"/>
              </w:rPr>
              <w:t>残渣；筒仓废布袋厂家回收；废活性炭、废导热油、废布袋除尘器（沥青）暂存于危险废物贮存点内，定期交由有资质单位处置。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jc w:val="center"/>
              <w:rPr>
                <w:color w:val="auto"/>
              </w:rPr>
            </w:pPr>
            <w:r>
              <w:rPr>
                <w:color w:val="auto"/>
              </w:rPr>
              <w:t>土壤及地下水污染防治措施</w:t>
            </w:r>
          </w:p>
        </w:tc>
        <w:tc>
          <w:tcPr>
            <w:tcW w:w="8075" w:type="dxa"/>
            <w:gridSpan w:val="4"/>
            <w:tcBorders>
              <w:tl2br w:val="nil"/>
              <w:tr2bl w:val="nil"/>
            </w:tcBorders>
            <w:vAlign w:val="center"/>
          </w:tcPr>
          <w:p>
            <w:pPr>
              <w:adjustRightInd w:val="0"/>
              <w:snapToGrid w:val="0"/>
              <w:jc w:val="center"/>
              <w:rPr>
                <w:color w:val="auto"/>
                <w:kern w:val="1"/>
                <w:szCs w:val="21"/>
              </w:rPr>
            </w:pPr>
            <w:r>
              <w:rPr>
                <w:color w:val="auto"/>
                <w:spacing w:val="8"/>
              </w:rPr>
              <w:t>地下水采取分区防渗，危险废物</w:t>
            </w:r>
            <w:r>
              <w:rPr>
                <w:rFonts w:hint="eastAsia"/>
                <w:color w:val="auto"/>
                <w:spacing w:val="8"/>
              </w:rPr>
              <w:t>贮存点</w:t>
            </w:r>
            <w:r>
              <w:rPr>
                <w:rFonts w:hint="eastAsia"/>
                <w:color w:val="auto"/>
                <w:spacing w:val="8"/>
                <w:lang w:eastAsia="zh-CN"/>
              </w:rPr>
              <w:t>、</w:t>
            </w:r>
            <w:r>
              <w:rPr>
                <w:rFonts w:hint="eastAsia"/>
                <w:color w:val="auto"/>
                <w:spacing w:val="8"/>
                <w:lang w:val="en-US" w:eastAsia="zh-CN"/>
              </w:rPr>
              <w:t>沥青储罐区</w:t>
            </w:r>
            <w:r>
              <w:rPr>
                <w:color w:val="auto"/>
                <w:spacing w:val="8"/>
              </w:rPr>
              <w:t>为重点防渗区，基础采取至少</w:t>
            </w:r>
            <w:r>
              <w:rPr>
                <w:rFonts w:eastAsia="Times New Roman"/>
                <w:color w:val="auto"/>
                <w:spacing w:val="8"/>
              </w:rPr>
              <w:t>2</w:t>
            </w:r>
            <w:r>
              <w:rPr>
                <w:rFonts w:eastAsia="Times New Roman"/>
                <w:color w:val="auto"/>
              </w:rPr>
              <w:t>mm</w:t>
            </w:r>
            <w:r>
              <w:rPr>
                <w:color w:val="auto"/>
                <w:spacing w:val="8"/>
              </w:rPr>
              <w:t>厚的防渗人工材料，渗透系数应</w:t>
            </w:r>
            <w:r>
              <w:rPr>
                <w:rFonts w:eastAsia="Times New Roman"/>
                <w:color w:val="auto"/>
                <w:spacing w:val="8"/>
              </w:rPr>
              <w:t>≤1×10</w:t>
            </w:r>
            <w:r>
              <w:rPr>
                <w:rFonts w:eastAsia="Times New Roman"/>
                <w:color w:val="auto"/>
                <w:spacing w:val="8"/>
                <w:position w:val="6"/>
                <w:sz w:val="13"/>
                <w:szCs w:val="13"/>
              </w:rPr>
              <w:t>-10</w:t>
            </w:r>
            <w:r>
              <w:rPr>
                <w:rFonts w:eastAsia="Times New Roman"/>
                <w:color w:val="auto"/>
              </w:rPr>
              <w:t>cm</w:t>
            </w:r>
            <w:r>
              <w:rPr>
                <w:rFonts w:eastAsia="Times New Roman"/>
                <w:color w:val="auto"/>
                <w:spacing w:val="8"/>
              </w:rPr>
              <w:t>/s</w:t>
            </w:r>
            <w:r>
              <w:rPr>
                <w:color w:val="auto"/>
                <w:spacing w:val="8"/>
              </w:rPr>
              <w:t>；生产区域为一般防渗区，地面经防渗</w:t>
            </w:r>
            <w:r>
              <w:rPr>
                <w:color w:val="auto"/>
                <w:spacing w:val="7"/>
              </w:rPr>
              <w:t>处理后渗透系数</w:t>
            </w:r>
            <w:r>
              <w:rPr>
                <w:rFonts w:eastAsia="Times New Roman"/>
                <w:color w:val="auto"/>
                <w:spacing w:val="7"/>
              </w:rPr>
              <w:t>≤1×10</w:t>
            </w:r>
            <w:r>
              <w:rPr>
                <w:rFonts w:eastAsia="Times New Roman"/>
                <w:color w:val="auto"/>
                <w:spacing w:val="7"/>
                <w:position w:val="6"/>
                <w:sz w:val="13"/>
                <w:szCs w:val="13"/>
              </w:rPr>
              <w:t>-7</w:t>
            </w:r>
            <w:r>
              <w:rPr>
                <w:rFonts w:eastAsia="Times New Roman"/>
                <w:color w:val="auto"/>
              </w:rPr>
              <w:t>cm</w:t>
            </w:r>
            <w:r>
              <w:rPr>
                <w:rFonts w:eastAsia="Times New Roman"/>
                <w:color w:val="auto"/>
                <w:spacing w:val="7"/>
              </w:rPr>
              <w:t>/s</w:t>
            </w:r>
            <w:r>
              <w:rPr>
                <w:color w:val="auto"/>
                <w:spacing w:val="7"/>
              </w:rPr>
              <w:t>；厂区其他地区为简单防渗区，地面进行硬化</w:t>
            </w:r>
            <w:r>
              <w:rPr>
                <w:color w:val="auto"/>
                <w:spacing w:val="6"/>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trPr>
        <w:tc>
          <w:tcPr>
            <w:tcW w:w="985" w:type="dxa"/>
            <w:tcBorders>
              <w:tl2br w:val="nil"/>
              <w:tr2bl w:val="nil"/>
            </w:tcBorders>
            <w:vAlign w:val="center"/>
          </w:tcPr>
          <w:p>
            <w:pPr>
              <w:jc w:val="center"/>
              <w:rPr>
                <w:color w:val="auto"/>
              </w:rPr>
            </w:pPr>
            <w:r>
              <w:rPr>
                <w:color w:val="auto"/>
              </w:rPr>
              <w:t>生态保护措施</w:t>
            </w:r>
          </w:p>
        </w:tc>
        <w:tc>
          <w:tcPr>
            <w:tcW w:w="8075" w:type="dxa"/>
            <w:gridSpan w:val="4"/>
            <w:tcBorders>
              <w:tl2br w:val="nil"/>
              <w:tr2bl w:val="nil"/>
            </w:tcBorders>
            <w:vAlign w:val="center"/>
          </w:tcPr>
          <w:p>
            <w:pPr>
              <w:adjustRightInd w:val="0"/>
              <w:snapToGrid w:val="0"/>
              <w:jc w:val="center"/>
              <w:rPr>
                <w:color w:val="auto"/>
                <w:kern w:val="1"/>
                <w:szCs w:val="21"/>
              </w:rPr>
            </w:pPr>
            <w:r>
              <w:rPr>
                <w:rFonts w:hint="eastAsia"/>
                <w:color w:val="auto"/>
                <w:kern w:val="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adjustRightInd w:val="0"/>
              <w:snapToGrid w:val="0"/>
              <w:jc w:val="center"/>
              <w:rPr>
                <w:color w:val="auto"/>
                <w:kern w:val="1"/>
                <w:szCs w:val="21"/>
              </w:rPr>
            </w:pPr>
            <w:r>
              <w:rPr>
                <w:color w:val="auto"/>
                <w:kern w:val="1"/>
                <w:szCs w:val="21"/>
              </w:rPr>
              <w:t>环境风险防范措施</w:t>
            </w:r>
          </w:p>
        </w:tc>
        <w:tc>
          <w:tcPr>
            <w:tcW w:w="8075" w:type="dxa"/>
            <w:gridSpan w:val="4"/>
            <w:tcBorders>
              <w:tl2br w:val="nil"/>
              <w:tr2bl w:val="nil"/>
            </w:tcBorders>
            <w:vAlign w:val="center"/>
          </w:tcPr>
          <w:p>
            <w:pPr>
              <w:spacing w:line="360" w:lineRule="auto"/>
              <w:ind w:firstLine="480" w:firstLineChars="200"/>
              <w:rPr>
                <w:color w:val="auto"/>
                <w:kern w:val="1"/>
                <w:szCs w:val="21"/>
              </w:rPr>
            </w:pPr>
            <w:r>
              <w:rPr>
                <w:rFonts w:hint="eastAsia"/>
                <w:color w:val="auto"/>
                <w:kern w:val="1"/>
                <w:szCs w:val="21"/>
              </w:rPr>
              <w:t>企业运营过程中积极采取防护措施，</w:t>
            </w:r>
            <w:r>
              <w:rPr>
                <w:rFonts w:hint="eastAsia"/>
                <w:color w:val="auto"/>
                <w:kern w:val="1"/>
                <w:szCs w:val="21"/>
                <w:lang w:val="en-US" w:eastAsia="zh-CN"/>
              </w:rPr>
              <w:t>危险废物</w:t>
            </w:r>
            <w:r>
              <w:rPr>
                <w:rFonts w:hint="eastAsia"/>
                <w:color w:val="auto"/>
                <w:kern w:val="1"/>
                <w:szCs w:val="21"/>
              </w:rPr>
              <w:t>暂存于危废贮存点，由加盖的储存桶收集，危废贮存点按照《危险废物贮存污染控制标准》</w:t>
            </w:r>
            <w:r>
              <w:rPr>
                <w:rFonts w:hint="eastAsia"/>
                <w:color w:val="auto"/>
                <w:kern w:val="1"/>
                <w:szCs w:val="21"/>
                <w:lang w:eastAsia="zh-CN"/>
              </w:rPr>
              <w:t>（</w:t>
            </w:r>
            <w:r>
              <w:rPr>
                <w:rFonts w:hint="eastAsia"/>
                <w:color w:val="auto"/>
                <w:kern w:val="1"/>
                <w:szCs w:val="21"/>
              </w:rPr>
              <w:t>GB18597-2023</w:t>
            </w:r>
            <w:r>
              <w:rPr>
                <w:rFonts w:hint="eastAsia"/>
                <w:color w:val="auto"/>
                <w:kern w:val="1"/>
                <w:szCs w:val="21"/>
                <w:lang w:eastAsia="zh-CN"/>
              </w:rPr>
              <w:t>）</w:t>
            </w:r>
            <w:r>
              <w:rPr>
                <w:rFonts w:hint="eastAsia"/>
                <w:color w:val="auto"/>
                <w:kern w:val="1"/>
                <w:szCs w:val="21"/>
              </w:rPr>
              <w:t>的管理规定，对贮存点做好防风、防雨、防渗措施，设有事故槽，以防泄漏后造成二次污染。加强储罐与管道系统的管理与维修，使沥青储存系统处于密闭化，严格防止跑、冒、滴、漏现象发生，制订环境突发事故应急预案，一旦突发环境风险事故，立即按应急预案提到的紧急处理、救援、监测方案等进行紧急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5" w:type="dxa"/>
            <w:tcBorders>
              <w:tl2br w:val="nil"/>
              <w:tr2bl w:val="nil"/>
            </w:tcBorders>
            <w:vAlign w:val="center"/>
          </w:tcPr>
          <w:p>
            <w:pPr>
              <w:jc w:val="center"/>
              <w:rPr>
                <w:color w:val="auto"/>
              </w:rPr>
            </w:pPr>
            <w:r>
              <w:rPr>
                <w:color w:val="auto"/>
              </w:rPr>
              <w:t>其他环境管理要求</w:t>
            </w:r>
          </w:p>
        </w:tc>
        <w:tc>
          <w:tcPr>
            <w:tcW w:w="8075" w:type="dxa"/>
            <w:gridSpan w:val="4"/>
            <w:tcBorders>
              <w:tl2br w:val="nil"/>
              <w:tr2bl w:val="nil"/>
            </w:tcBorders>
            <w:vAlign w:val="center"/>
          </w:tcPr>
          <w:p>
            <w:pPr>
              <w:pStyle w:val="25"/>
              <w:spacing w:after="0" w:line="360" w:lineRule="auto"/>
              <w:ind w:left="0" w:firstLine="480" w:firstLineChars="200"/>
              <w:jc w:val="both"/>
              <w:rPr>
                <w:color w:val="auto"/>
              </w:rPr>
            </w:pPr>
            <w:r>
              <w:rPr>
                <w:rFonts w:ascii="Times New Roman" w:hAnsi="Times New Roman"/>
                <w:color w:val="auto"/>
                <w:sz w:val="24"/>
                <w:szCs w:val="24"/>
              </w:rPr>
              <w:t>按照《排污许可管理办法（试行）》（环境保护部令48号）和《固定污染源排污许可分类管理名录（2019版）》相关要求，</w:t>
            </w:r>
            <w:r>
              <w:rPr>
                <w:rFonts w:hint="eastAsia" w:ascii="Times New Roman" w:hAnsi="Times New Roman"/>
                <w:color w:val="auto"/>
                <w:sz w:val="24"/>
                <w:szCs w:val="24"/>
              </w:rPr>
              <w:t>应</w:t>
            </w:r>
            <w:r>
              <w:rPr>
                <w:rFonts w:ascii="Times New Roman" w:hAnsi="Times New Roman"/>
                <w:color w:val="auto"/>
                <w:sz w:val="24"/>
                <w:szCs w:val="24"/>
              </w:rPr>
              <w:t>在规定时间内取得排污许可证，按证排污。并做好环境管理台账记录，上报季度、年度执行报告等相关要求。</w:t>
            </w:r>
          </w:p>
        </w:tc>
      </w:tr>
    </w:tbl>
    <w:p>
      <w:pPr>
        <w:rPr>
          <w:color w:val="auto"/>
        </w:rPr>
        <w:sectPr>
          <w:pgSz w:w="11906" w:h="16838"/>
          <w:pgMar w:top="1701" w:right="1531" w:bottom="1701" w:left="1531" w:header="851" w:footer="992" w:gutter="0"/>
          <w:cols w:space="425" w:num="1"/>
          <w:docGrid w:linePitch="312" w:charSpace="0"/>
        </w:sectPr>
      </w:pPr>
    </w:p>
    <w:p>
      <w:pPr>
        <w:jc w:val="center"/>
        <w:outlineLvl w:val="0"/>
        <w:rPr>
          <w:rFonts w:eastAsia="黑体"/>
          <w:color w:val="auto"/>
          <w:sz w:val="30"/>
          <w:szCs w:val="30"/>
        </w:rPr>
      </w:pPr>
      <w:bookmarkStart w:id="42" w:name="_Toc9048"/>
      <w:bookmarkStart w:id="43" w:name="_Toc4853"/>
      <w:bookmarkStart w:id="44" w:name="_Toc7584"/>
      <w:bookmarkStart w:id="45" w:name="_Toc17739"/>
      <w:bookmarkStart w:id="46" w:name="_Toc5826"/>
      <w:r>
        <w:rPr>
          <w:rFonts w:eastAsia="黑体"/>
          <w:color w:val="auto"/>
          <w:sz w:val="30"/>
          <w:szCs w:val="30"/>
        </w:rPr>
        <w:t>六、结论</w:t>
      </w:r>
      <w:bookmarkEnd w:id="42"/>
      <w:bookmarkEnd w:id="43"/>
      <w:bookmarkEnd w:id="44"/>
      <w:bookmarkEnd w:id="45"/>
      <w:bookmarkEnd w:id="46"/>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12" w:space="0"/>
          <w:insideV w:val="none" w:color="auto" w:sz="0"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12" w:space="0"/>
            <w:insideV w:val="none" w:color="auto" w:sz="0" w:space="0"/>
          </w:tblBorders>
          <w:tblLayout w:type="fixed"/>
          <w:tblCellMar>
            <w:top w:w="0" w:type="dxa"/>
            <w:left w:w="108" w:type="dxa"/>
            <w:bottom w:w="0" w:type="dxa"/>
            <w:right w:w="108" w:type="dxa"/>
          </w:tblCellMar>
        </w:tblPrEx>
        <w:tc>
          <w:tcPr>
            <w:tcW w:w="9060" w:type="dxa"/>
            <w:tcBorders>
              <w:tl2br w:val="nil"/>
              <w:tr2bl w:val="nil"/>
            </w:tcBorders>
          </w:tcPr>
          <w:p>
            <w:pPr>
              <w:spacing w:before="240" w:beforeLines="100" w:line="360" w:lineRule="auto"/>
              <w:ind w:firstLine="480" w:firstLineChars="200"/>
              <w:rPr>
                <w:color w:val="auto"/>
              </w:rPr>
            </w:pPr>
            <w:r>
              <w:rPr>
                <w:color w:val="auto"/>
              </w:rPr>
              <w:t>本项目建设符合国家产业政策要求，项目在采用本次环境影响评价提出的各项污染防治措施后，对项目周围环境及各保护目标环境质量现状影响较小。因此，从环境保护角度而言，本项目建设是可行的。</w:t>
            </w: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p>
            <w:pPr>
              <w:spacing w:line="360" w:lineRule="auto"/>
              <w:ind w:firstLine="480" w:firstLineChars="200"/>
              <w:rPr>
                <w:color w:val="auto"/>
              </w:rPr>
            </w:pPr>
          </w:p>
        </w:tc>
      </w:tr>
    </w:tbl>
    <w:p>
      <w:pPr>
        <w:rPr>
          <w:color w:val="auto"/>
        </w:rPr>
        <w:sectPr>
          <w:pgSz w:w="11906" w:h="16838"/>
          <w:pgMar w:top="1701" w:right="1531" w:bottom="1701" w:left="1531" w:header="851" w:footer="992" w:gutter="0"/>
          <w:cols w:space="425" w:num="1"/>
          <w:docGrid w:linePitch="312" w:charSpace="0"/>
        </w:sectPr>
      </w:pPr>
    </w:p>
    <w:p>
      <w:pPr>
        <w:spacing w:before="240" w:beforeLines="100" w:after="240" w:afterLines="100"/>
        <w:jc w:val="left"/>
        <w:outlineLvl w:val="0"/>
        <w:rPr>
          <w:rFonts w:eastAsia="黑体"/>
          <w:color w:val="auto"/>
          <w:sz w:val="30"/>
          <w:szCs w:val="30"/>
        </w:rPr>
      </w:pPr>
      <w:bookmarkStart w:id="47" w:name="_Toc14848"/>
      <w:bookmarkStart w:id="48" w:name="_Toc23630"/>
      <w:bookmarkStart w:id="49" w:name="_Toc8838"/>
      <w:bookmarkStart w:id="50" w:name="_Toc634"/>
      <w:r>
        <w:rPr>
          <w:rFonts w:eastAsia="黑体"/>
          <w:color w:val="auto"/>
          <w:sz w:val="30"/>
          <w:szCs w:val="30"/>
        </w:rPr>
        <w:t>附表</w:t>
      </w:r>
      <w:bookmarkEnd w:id="47"/>
      <w:bookmarkEnd w:id="48"/>
      <w:bookmarkEnd w:id="49"/>
      <w:bookmarkEnd w:id="50"/>
    </w:p>
    <w:p>
      <w:pPr>
        <w:spacing w:before="240" w:beforeLines="100" w:after="240" w:afterLines="100"/>
        <w:jc w:val="center"/>
        <w:rPr>
          <w:rFonts w:eastAsia="黑体"/>
          <w:color w:val="auto"/>
          <w:sz w:val="30"/>
          <w:szCs w:val="30"/>
        </w:rPr>
      </w:pPr>
      <w:r>
        <w:rPr>
          <w:rFonts w:eastAsia="黑体"/>
          <w:color w:val="auto"/>
          <w:sz w:val="30"/>
          <w:szCs w:val="30"/>
        </w:rPr>
        <w:t>建设项目污染物排放量汇总表</w:t>
      </w:r>
    </w:p>
    <w:tbl>
      <w:tblPr>
        <w:tblStyle w:val="30"/>
        <w:tblW w:w="137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93"/>
        <w:gridCol w:w="1585"/>
        <w:gridCol w:w="1195"/>
        <w:gridCol w:w="1489"/>
        <w:gridCol w:w="1505"/>
        <w:gridCol w:w="1506"/>
        <w:gridCol w:w="1847"/>
        <w:gridCol w:w="15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928" w:type="dxa"/>
            <w:tcBorders>
              <w:top w:val="single" w:color="auto" w:sz="8" w:space="0"/>
              <w:bottom w:val="single" w:color="auto" w:sz="4" w:space="0"/>
              <w:tl2br w:val="single" w:color="auto" w:sz="4" w:space="0"/>
            </w:tcBorders>
            <w:tcMar>
              <w:left w:w="28" w:type="dxa"/>
              <w:right w:w="28" w:type="dxa"/>
            </w:tcMar>
            <w:vAlign w:val="center"/>
          </w:tcPr>
          <w:p>
            <w:pPr>
              <w:pStyle w:val="46"/>
              <w:spacing w:beforeLines="0" w:afterLines="0" w:line="240" w:lineRule="auto"/>
              <w:jc w:val="right"/>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项目</w:t>
            </w:r>
          </w:p>
          <w:p>
            <w:pPr>
              <w:pStyle w:val="46"/>
              <w:spacing w:beforeLines="0" w:afterLines="0" w:line="240" w:lineRule="auto"/>
              <w:jc w:val="left"/>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分类</w:t>
            </w:r>
          </w:p>
        </w:tc>
        <w:tc>
          <w:tcPr>
            <w:tcW w:w="2193"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污染物名称</w:t>
            </w:r>
          </w:p>
        </w:tc>
        <w:tc>
          <w:tcPr>
            <w:tcW w:w="1585"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现有工程</w:t>
            </w:r>
          </w:p>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排放量（固体废物产生量）</w:t>
            </w:r>
            <w:r>
              <w:rPr>
                <w:rFonts w:ascii="Times New Roman" w:hAnsi="Times New Roman" w:eastAsia="宋体" w:cs="Times New Roman"/>
                <w:snapToGrid w:val="0"/>
                <w:color w:val="auto"/>
                <w:spacing w:val="-6"/>
                <w:kern w:val="21"/>
                <w:szCs w:val="24"/>
              </w:rPr>
              <w:fldChar w:fldCharType="begin"/>
            </w:r>
            <w:r>
              <w:rPr>
                <w:rFonts w:ascii="Times New Roman" w:hAnsi="Times New Roman" w:eastAsia="宋体" w:cs="Times New Roman"/>
                <w:snapToGrid w:val="0"/>
                <w:color w:val="auto"/>
                <w:spacing w:val="-6"/>
                <w:kern w:val="21"/>
                <w:szCs w:val="24"/>
              </w:rPr>
              <w:instrText xml:space="preserve"> = 1 \* GB3 \* MERGEFORMAT </w:instrText>
            </w:r>
            <w:r>
              <w:rPr>
                <w:rFonts w:ascii="Times New Roman" w:hAnsi="Times New Roman" w:eastAsia="宋体" w:cs="Times New Roman"/>
                <w:snapToGrid w:val="0"/>
                <w:color w:val="auto"/>
                <w:spacing w:val="-6"/>
                <w:kern w:val="21"/>
                <w:szCs w:val="24"/>
              </w:rPr>
              <w:fldChar w:fldCharType="separate"/>
            </w:r>
            <w:r>
              <w:rPr>
                <w:rFonts w:ascii="Times New Roman" w:hAnsi="Times New Roman" w:eastAsia="宋体" w:cs="Times New Roman"/>
                <w:color w:val="auto"/>
                <w:szCs w:val="24"/>
              </w:rPr>
              <w:t>①</w:t>
            </w:r>
            <w:r>
              <w:rPr>
                <w:rFonts w:ascii="Times New Roman" w:hAnsi="Times New Roman" w:eastAsia="宋体" w:cs="Times New Roman"/>
                <w:snapToGrid w:val="0"/>
                <w:color w:val="auto"/>
                <w:spacing w:val="-6"/>
                <w:kern w:val="21"/>
                <w:szCs w:val="24"/>
              </w:rPr>
              <w:fldChar w:fldCharType="end"/>
            </w:r>
          </w:p>
        </w:tc>
        <w:tc>
          <w:tcPr>
            <w:tcW w:w="1195"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现有工程</w:t>
            </w:r>
          </w:p>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许可排放量</w:t>
            </w:r>
            <w:r>
              <w:rPr>
                <w:rFonts w:ascii="Times New Roman" w:hAnsi="Times New Roman" w:eastAsia="宋体" w:cs="Times New Roman"/>
                <w:snapToGrid w:val="0"/>
                <w:color w:val="auto"/>
                <w:spacing w:val="-6"/>
                <w:kern w:val="21"/>
                <w:szCs w:val="24"/>
              </w:rPr>
              <w:fldChar w:fldCharType="begin"/>
            </w:r>
            <w:r>
              <w:rPr>
                <w:rFonts w:ascii="Times New Roman" w:hAnsi="Times New Roman" w:eastAsia="宋体" w:cs="Times New Roman"/>
                <w:snapToGrid w:val="0"/>
                <w:color w:val="auto"/>
                <w:spacing w:val="-6"/>
                <w:kern w:val="21"/>
                <w:szCs w:val="24"/>
              </w:rPr>
              <w:instrText xml:space="preserve"> = 2 \* GB3 \* MERGEFORMAT </w:instrText>
            </w:r>
            <w:r>
              <w:rPr>
                <w:rFonts w:ascii="Times New Roman" w:hAnsi="Times New Roman" w:eastAsia="宋体" w:cs="Times New Roman"/>
                <w:snapToGrid w:val="0"/>
                <w:color w:val="auto"/>
                <w:spacing w:val="-6"/>
                <w:kern w:val="21"/>
                <w:szCs w:val="24"/>
              </w:rPr>
              <w:fldChar w:fldCharType="separate"/>
            </w:r>
            <w:r>
              <w:rPr>
                <w:rFonts w:ascii="Times New Roman" w:hAnsi="Times New Roman" w:eastAsia="宋体" w:cs="Times New Roman"/>
                <w:snapToGrid w:val="0"/>
                <w:color w:val="auto"/>
                <w:spacing w:val="-6"/>
                <w:kern w:val="21"/>
                <w:szCs w:val="24"/>
              </w:rPr>
              <w:t>②</w:t>
            </w:r>
            <w:r>
              <w:rPr>
                <w:rFonts w:ascii="Times New Roman" w:hAnsi="Times New Roman" w:eastAsia="宋体" w:cs="Times New Roman"/>
                <w:snapToGrid w:val="0"/>
                <w:color w:val="auto"/>
                <w:spacing w:val="-6"/>
                <w:kern w:val="21"/>
                <w:szCs w:val="24"/>
              </w:rPr>
              <w:fldChar w:fldCharType="end"/>
            </w:r>
          </w:p>
        </w:tc>
        <w:tc>
          <w:tcPr>
            <w:tcW w:w="1489"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在建工程排放量（固体废物产生量）</w:t>
            </w:r>
            <w:r>
              <w:rPr>
                <w:rFonts w:ascii="Times New Roman" w:hAnsi="Times New Roman" w:eastAsia="宋体" w:cs="Times New Roman"/>
                <w:snapToGrid w:val="0"/>
                <w:color w:val="auto"/>
                <w:spacing w:val="-6"/>
                <w:kern w:val="21"/>
                <w:szCs w:val="24"/>
              </w:rPr>
              <w:fldChar w:fldCharType="begin"/>
            </w:r>
            <w:r>
              <w:rPr>
                <w:rFonts w:ascii="Times New Roman" w:hAnsi="Times New Roman" w:eastAsia="宋体" w:cs="Times New Roman"/>
                <w:snapToGrid w:val="0"/>
                <w:color w:val="auto"/>
                <w:spacing w:val="-6"/>
                <w:kern w:val="21"/>
                <w:szCs w:val="24"/>
              </w:rPr>
              <w:instrText xml:space="preserve"> = 3 \* GB3 \* MERGEFORMAT </w:instrText>
            </w:r>
            <w:r>
              <w:rPr>
                <w:rFonts w:ascii="Times New Roman" w:hAnsi="Times New Roman" w:eastAsia="宋体" w:cs="Times New Roman"/>
                <w:snapToGrid w:val="0"/>
                <w:color w:val="auto"/>
                <w:spacing w:val="-6"/>
                <w:kern w:val="21"/>
                <w:szCs w:val="24"/>
              </w:rPr>
              <w:fldChar w:fldCharType="separate"/>
            </w:r>
            <w:r>
              <w:rPr>
                <w:rFonts w:ascii="Times New Roman" w:hAnsi="Times New Roman" w:eastAsia="宋体" w:cs="Times New Roman"/>
                <w:color w:val="auto"/>
                <w:szCs w:val="24"/>
              </w:rPr>
              <w:t>③</w:t>
            </w:r>
            <w:r>
              <w:rPr>
                <w:rFonts w:ascii="Times New Roman" w:hAnsi="Times New Roman" w:eastAsia="宋体" w:cs="Times New Roman"/>
                <w:snapToGrid w:val="0"/>
                <w:color w:val="auto"/>
                <w:spacing w:val="-6"/>
                <w:kern w:val="21"/>
                <w:szCs w:val="24"/>
              </w:rPr>
              <w:fldChar w:fldCharType="end"/>
            </w:r>
          </w:p>
        </w:tc>
        <w:tc>
          <w:tcPr>
            <w:tcW w:w="1505"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本项目排放量（固体废物产生量）</w:t>
            </w:r>
            <w:r>
              <w:rPr>
                <w:rFonts w:ascii="Times New Roman" w:hAnsi="Times New Roman" w:eastAsia="宋体" w:cs="Times New Roman"/>
                <w:snapToGrid w:val="0"/>
                <w:color w:val="auto"/>
                <w:spacing w:val="-6"/>
                <w:kern w:val="21"/>
                <w:szCs w:val="24"/>
              </w:rPr>
              <w:fldChar w:fldCharType="begin"/>
            </w:r>
            <w:r>
              <w:rPr>
                <w:rFonts w:ascii="Times New Roman" w:hAnsi="Times New Roman" w:eastAsia="宋体" w:cs="Times New Roman"/>
                <w:snapToGrid w:val="0"/>
                <w:color w:val="auto"/>
                <w:spacing w:val="-6"/>
                <w:kern w:val="21"/>
                <w:szCs w:val="24"/>
              </w:rPr>
              <w:instrText xml:space="preserve"> = 4 \* GB3 \* MERGEFORMAT </w:instrText>
            </w:r>
            <w:r>
              <w:rPr>
                <w:rFonts w:ascii="Times New Roman" w:hAnsi="Times New Roman" w:eastAsia="宋体" w:cs="Times New Roman"/>
                <w:snapToGrid w:val="0"/>
                <w:color w:val="auto"/>
                <w:spacing w:val="-6"/>
                <w:kern w:val="21"/>
                <w:szCs w:val="24"/>
              </w:rPr>
              <w:fldChar w:fldCharType="separate"/>
            </w:r>
            <w:r>
              <w:rPr>
                <w:rFonts w:ascii="Times New Roman" w:hAnsi="Times New Roman" w:eastAsia="宋体" w:cs="Times New Roman"/>
                <w:color w:val="auto"/>
                <w:szCs w:val="24"/>
              </w:rPr>
              <w:t>④</w:t>
            </w:r>
            <w:r>
              <w:rPr>
                <w:rFonts w:ascii="Times New Roman" w:hAnsi="Times New Roman" w:eastAsia="宋体" w:cs="Times New Roman"/>
                <w:snapToGrid w:val="0"/>
                <w:color w:val="auto"/>
                <w:spacing w:val="-6"/>
                <w:kern w:val="21"/>
                <w:szCs w:val="24"/>
              </w:rPr>
              <w:fldChar w:fldCharType="end"/>
            </w:r>
          </w:p>
        </w:tc>
        <w:tc>
          <w:tcPr>
            <w:tcW w:w="1506"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16"/>
                <w:kern w:val="21"/>
                <w:szCs w:val="24"/>
              </w:rPr>
            </w:pPr>
            <w:r>
              <w:rPr>
                <w:rFonts w:ascii="Times New Roman" w:hAnsi="Times New Roman" w:eastAsia="宋体" w:cs="Times New Roman"/>
                <w:snapToGrid w:val="0"/>
                <w:color w:val="auto"/>
                <w:spacing w:val="-16"/>
                <w:kern w:val="21"/>
                <w:szCs w:val="24"/>
              </w:rPr>
              <w:t>以新带老削减量（新建项目不填）</w:t>
            </w:r>
            <w:r>
              <w:rPr>
                <w:rFonts w:ascii="Times New Roman" w:hAnsi="Times New Roman" w:eastAsia="宋体" w:cs="Times New Roman"/>
                <w:snapToGrid w:val="0"/>
                <w:color w:val="auto"/>
                <w:spacing w:val="-16"/>
                <w:kern w:val="21"/>
                <w:szCs w:val="24"/>
              </w:rPr>
              <w:fldChar w:fldCharType="begin"/>
            </w:r>
            <w:r>
              <w:rPr>
                <w:rFonts w:ascii="Times New Roman" w:hAnsi="Times New Roman" w:eastAsia="宋体" w:cs="Times New Roman"/>
                <w:snapToGrid w:val="0"/>
                <w:color w:val="auto"/>
                <w:spacing w:val="-16"/>
                <w:kern w:val="21"/>
                <w:szCs w:val="24"/>
              </w:rPr>
              <w:instrText xml:space="preserve"> = 5 \* GB3 \* MERGEFORMAT </w:instrText>
            </w:r>
            <w:r>
              <w:rPr>
                <w:rFonts w:ascii="Times New Roman" w:hAnsi="Times New Roman" w:eastAsia="宋体" w:cs="Times New Roman"/>
                <w:snapToGrid w:val="0"/>
                <w:color w:val="auto"/>
                <w:spacing w:val="-16"/>
                <w:kern w:val="21"/>
                <w:szCs w:val="24"/>
              </w:rPr>
              <w:fldChar w:fldCharType="separate"/>
            </w:r>
            <w:r>
              <w:rPr>
                <w:rFonts w:ascii="Times New Roman" w:hAnsi="Times New Roman" w:eastAsia="宋体" w:cs="Times New Roman"/>
                <w:color w:val="auto"/>
                <w:szCs w:val="24"/>
              </w:rPr>
              <w:t>⑤</w:t>
            </w:r>
            <w:r>
              <w:rPr>
                <w:rFonts w:ascii="Times New Roman" w:hAnsi="Times New Roman" w:eastAsia="宋体" w:cs="Times New Roman"/>
                <w:snapToGrid w:val="0"/>
                <w:color w:val="auto"/>
                <w:spacing w:val="-16"/>
                <w:kern w:val="21"/>
                <w:szCs w:val="24"/>
              </w:rPr>
              <w:fldChar w:fldCharType="end"/>
            </w:r>
          </w:p>
        </w:tc>
        <w:tc>
          <w:tcPr>
            <w:tcW w:w="1847"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16"/>
                <w:kern w:val="21"/>
                <w:szCs w:val="24"/>
              </w:rPr>
            </w:pPr>
            <w:r>
              <w:rPr>
                <w:rFonts w:ascii="Times New Roman" w:hAnsi="Times New Roman" w:eastAsia="宋体" w:cs="Times New Roman"/>
                <w:snapToGrid w:val="0"/>
                <w:color w:val="auto"/>
                <w:spacing w:val="-16"/>
                <w:kern w:val="21"/>
                <w:szCs w:val="24"/>
              </w:rPr>
              <w:t>本项目建成后</w:t>
            </w:r>
          </w:p>
          <w:p>
            <w:pPr>
              <w:pStyle w:val="46"/>
              <w:spacing w:beforeLines="0" w:afterLines="0" w:line="240" w:lineRule="auto"/>
              <w:rPr>
                <w:rFonts w:ascii="Times New Roman" w:hAnsi="Times New Roman" w:eastAsia="宋体" w:cs="Times New Roman"/>
                <w:snapToGrid w:val="0"/>
                <w:color w:val="auto"/>
                <w:spacing w:val="-16"/>
                <w:kern w:val="21"/>
                <w:szCs w:val="24"/>
              </w:rPr>
            </w:pPr>
            <w:r>
              <w:rPr>
                <w:rFonts w:ascii="Times New Roman" w:hAnsi="Times New Roman" w:eastAsia="宋体" w:cs="Times New Roman"/>
                <w:snapToGrid w:val="0"/>
                <w:color w:val="auto"/>
                <w:spacing w:val="-16"/>
                <w:kern w:val="21"/>
                <w:szCs w:val="24"/>
              </w:rPr>
              <w:t>全厂排放量（固体废物产生量）</w:t>
            </w:r>
            <w:r>
              <w:rPr>
                <w:rFonts w:ascii="Times New Roman" w:hAnsi="Times New Roman" w:eastAsia="宋体" w:cs="Times New Roman"/>
                <w:snapToGrid w:val="0"/>
                <w:color w:val="auto"/>
                <w:spacing w:val="-16"/>
                <w:kern w:val="21"/>
                <w:szCs w:val="24"/>
              </w:rPr>
              <w:fldChar w:fldCharType="begin"/>
            </w:r>
            <w:r>
              <w:rPr>
                <w:rFonts w:ascii="Times New Roman" w:hAnsi="Times New Roman" w:eastAsia="宋体" w:cs="Times New Roman"/>
                <w:snapToGrid w:val="0"/>
                <w:color w:val="auto"/>
                <w:spacing w:val="-16"/>
                <w:kern w:val="21"/>
                <w:szCs w:val="24"/>
              </w:rPr>
              <w:instrText xml:space="preserve"> = 6 \* GB3 \* MERGEFORMAT </w:instrText>
            </w:r>
            <w:r>
              <w:rPr>
                <w:rFonts w:ascii="Times New Roman" w:hAnsi="Times New Roman" w:eastAsia="宋体" w:cs="Times New Roman"/>
                <w:snapToGrid w:val="0"/>
                <w:color w:val="auto"/>
                <w:spacing w:val="-16"/>
                <w:kern w:val="21"/>
                <w:szCs w:val="24"/>
              </w:rPr>
              <w:fldChar w:fldCharType="separate"/>
            </w:r>
            <w:r>
              <w:rPr>
                <w:rFonts w:ascii="Times New Roman" w:hAnsi="Times New Roman" w:eastAsia="宋体" w:cs="Times New Roman"/>
                <w:color w:val="auto"/>
                <w:szCs w:val="24"/>
              </w:rPr>
              <w:t>⑥</w:t>
            </w:r>
            <w:r>
              <w:rPr>
                <w:rFonts w:ascii="Times New Roman" w:hAnsi="Times New Roman" w:eastAsia="宋体" w:cs="Times New Roman"/>
                <w:snapToGrid w:val="0"/>
                <w:color w:val="auto"/>
                <w:spacing w:val="-16"/>
                <w:kern w:val="21"/>
                <w:szCs w:val="24"/>
              </w:rPr>
              <w:fldChar w:fldCharType="end"/>
            </w:r>
          </w:p>
        </w:tc>
        <w:tc>
          <w:tcPr>
            <w:tcW w:w="1540" w:type="dxa"/>
            <w:tcBorders>
              <w:top w:val="single" w:color="auto" w:sz="8" w:space="0"/>
              <w:bottom w:val="single" w:color="auto" w:sz="4" w:space="0"/>
            </w:tcBorders>
            <w:tcMar>
              <w:left w:w="28" w:type="dxa"/>
              <w:right w:w="28" w:type="dxa"/>
            </w:tcMar>
            <w:vAlign w:val="center"/>
          </w:tcPr>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t>变化量</w:t>
            </w:r>
          </w:p>
          <w:p>
            <w:pPr>
              <w:pStyle w:val="46"/>
              <w:spacing w:beforeLines="0" w:afterLines="0" w:line="240" w:lineRule="auto"/>
              <w:rPr>
                <w:rFonts w:ascii="Times New Roman" w:hAnsi="Times New Roman" w:eastAsia="宋体" w:cs="Times New Roman"/>
                <w:snapToGrid w:val="0"/>
                <w:color w:val="auto"/>
                <w:spacing w:val="-6"/>
                <w:kern w:val="21"/>
                <w:szCs w:val="24"/>
              </w:rPr>
            </w:pPr>
            <w:r>
              <w:rPr>
                <w:rFonts w:ascii="Times New Roman" w:hAnsi="Times New Roman" w:eastAsia="宋体" w:cs="Times New Roman"/>
                <w:snapToGrid w:val="0"/>
                <w:color w:val="auto"/>
                <w:spacing w:val="-6"/>
                <w:kern w:val="21"/>
                <w:szCs w:val="24"/>
              </w:rPr>
              <w:fldChar w:fldCharType="begin"/>
            </w:r>
            <w:r>
              <w:rPr>
                <w:rFonts w:ascii="Times New Roman" w:hAnsi="Times New Roman" w:eastAsia="宋体" w:cs="Times New Roman"/>
                <w:snapToGrid w:val="0"/>
                <w:color w:val="auto"/>
                <w:spacing w:val="-6"/>
                <w:kern w:val="21"/>
                <w:szCs w:val="24"/>
              </w:rPr>
              <w:instrText xml:space="preserve"> = 7 \* GB3 \* MERGEFORMAT </w:instrText>
            </w:r>
            <w:r>
              <w:rPr>
                <w:rFonts w:ascii="Times New Roman" w:hAnsi="Times New Roman" w:eastAsia="宋体" w:cs="Times New Roman"/>
                <w:snapToGrid w:val="0"/>
                <w:color w:val="auto"/>
                <w:spacing w:val="-6"/>
                <w:kern w:val="21"/>
                <w:szCs w:val="24"/>
              </w:rPr>
              <w:fldChar w:fldCharType="separate"/>
            </w:r>
            <w:r>
              <w:rPr>
                <w:rFonts w:ascii="Times New Roman" w:hAnsi="Times New Roman" w:eastAsia="宋体" w:cs="Times New Roman"/>
                <w:color w:val="auto"/>
                <w:szCs w:val="24"/>
              </w:rPr>
              <w:t>⑦</w:t>
            </w:r>
            <w:r>
              <w:rPr>
                <w:rFonts w:ascii="Times New Roman" w:hAnsi="Times New Roman" w:eastAsia="宋体" w:cs="Times New Roman"/>
                <w:snapToGrid w:val="0"/>
                <w:color w:val="auto"/>
                <w:spacing w:val="-6"/>
                <w:kern w:val="21"/>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restart"/>
            <w:tcBorders>
              <w:top w:val="single" w:color="auto" w:sz="4" w:space="0"/>
            </w:tcBorders>
            <w:vAlign w:val="center"/>
          </w:tcPr>
          <w:p>
            <w:pPr>
              <w:pStyle w:val="46"/>
              <w:spacing w:beforeLines="0" w:afterLines="0" w:line="240" w:lineRule="auto"/>
              <w:rPr>
                <w:rFonts w:ascii="Times New Roman" w:hAnsi="Times New Roman" w:eastAsia="宋体" w:cs="Times New Roman"/>
                <w:snapToGrid w:val="0"/>
                <w:color w:val="auto"/>
                <w:kern w:val="21"/>
                <w:szCs w:val="24"/>
              </w:rPr>
            </w:pPr>
            <w:r>
              <w:rPr>
                <w:rFonts w:ascii="Times New Roman" w:hAnsi="Times New Roman" w:eastAsia="宋体" w:cs="Times New Roman"/>
                <w:snapToGrid w:val="0"/>
                <w:color w:val="auto"/>
                <w:kern w:val="21"/>
                <w:szCs w:val="24"/>
              </w:rPr>
              <w:t>废气</w:t>
            </w:r>
          </w:p>
        </w:tc>
        <w:tc>
          <w:tcPr>
            <w:tcW w:w="2193" w:type="dxa"/>
            <w:tcBorders>
              <w:top w:val="single" w:color="auto" w:sz="4" w:space="0"/>
              <w:bottom w:val="single" w:color="auto" w:sz="4" w:space="0"/>
            </w:tcBorders>
            <w:vAlign w:val="center"/>
          </w:tcPr>
          <w:p>
            <w:pPr>
              <w:jc w:val="center"/>
              <w:rPr>
                <w:color w:val="auto"/>
              </w:rPr>
            </w:pPr>
            <w:r>
              <w:rPr>
                <w:snapToGrid w:val="0"/>
                <w:color w:val="auto"/>
                <w:kern w:val="21"/>
              </w:rPr>
              <w:t>颗粒物</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vAlign w:val="center"/>
          </w:tcPr>
          <w:p>
            <w:pPr>
              <w:jc w:val="center"/>
              <w:rPr>
                <w:color w:val="auto"/>
              </w:rPr>
            </w:pPr>
            <w:r>
              <w:rPr>
                <w:rFonts w:hint="eastAsia"/>
                <w:color w:val="auto"/>
              </w:rPr>
              <w:t>0.</w:t>
            </w:r>
            <w:r>
              <w:rPr>
                <w:rFonts w:hint="eastAsia"/>
                <w:color w:val="auto"/>
                <w:lang w:val="en-US" w:eastAsia="zh-CN"/>
              </w:rPr>
              <w:t>068</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w:t>
            </w:r>
            <w:r>
              <w:rPr>
                <w:rFonts w:hint="eastAsia"/>
                <w:color w:val="auto"/>
                <w:lang w:val="en-US" w:eastAsia="zh-CN"/>
              </w:rPr>
              <w:t>068</w:t>
            </w:r>
            <w:r>
              <w:rPr>
                <w:color w:val="auto"/>
              </w:rPr>
              <w:t>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w:t>
            </w:r>
            <w:r>
              <w:rPr>
                <w:rFonts w:hint="eastAsia"/>
                <w:color w:val="auto"/>
                <w:lang w:val="en-US" w:eastAsia="zh-CN"/>
              </w:rPr>
              <w:t>068</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rFonts w:hint="eastAsia"/>
                <w:snapToGrid w:val="0"/>
                <w:color w:val="auto"/>
                <w:kern w:val="21"/>
              </w:rPr>
              <w:t>二氧化硫</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0.005</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0.005</w:t>
            </w:r>
            <w:r>
              <w:rPr>
                <w:color w:val="auto"/>
              </w:rPr>
              <w:t>t/a</w:t>
            </w:r>
          </w:p>
        </w:tc>
        <w:tc>
          <w:tcPr>
            <w:tcW w:w="1540"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0.005</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rFonts w:hint="eastAsia"/>
                <w:snapToGrid w:val="0"/>
                <w:color w:val="auto"/>
                <w:kern w:val="21"/>
              </w:rPr>
              <w:t>氮氧化物</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2.444</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2.444</w:t>
            </w:r>
            <w:r>
              <w:rPr>
                <w:color w:val="auto"/>
              </w:rPr>
              <w:t>t/a</w:t>
            </w:r>
          </w:p>
        </w:tc>
        <w:tc>
          <w:tcPr>
            <w:tcW w:w="1540"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2.444</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rFonts w:hint="eastAsia"/>
                <w:snapToGrid w:val="0"/>
                <w:color w:val="auto"/>
                <w:kern w:val="21"/>
              </w:rPr>
              <w:t>沥青烟</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rPr>
              <w:t>0.0</w:t>
            </w:r>
            <w:r>
              <w:rPr>
                <w:rFonts w:hint="eastAsia"/>
                <w:color w:val="auto"/>
                <w:lang w:val="en-US" w:eastAsia="zh-CN"/>
              </w:rPr>
              <w:t>59</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rPr>
              <w:t>0.0</w:t>
            </w:r>
            <w:r>
              <w:rPr>
                <w:rFonts w:hint="eastAsia"/>
                <w:color w:val="auto"/>
                <w:lang w:val="en-US" w:eastAsia="zh-CN"/>
              </w:rPr>
              <w:t>59</w:t>
            </w:r>
            <w:r>
              <w:rPr>
                <w:color w:val="auto"/>
              </w:rPr>
              <w:t>t/a</w:t>
            </w:r>
          </w:p>
        </w:tc>
        <w:tc>
          <w:tcPr>
            <w:tcW w:w="1540"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rPr>
              <w:t>0.0</w:t>
            </w:r>
            <w:r>
              <w:rPr>
                <w:rFonts w:hint="eastAsia"/>
                <w:color w:val="auto"/>
                <w:lang w:val="en-US" w:eastAsia="zh-CN"/>
              </w:rPr>
              <w:t>59</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color w:val="auto"/>
                <w:spacing w:val="4"/>
              </w:rPr>
              <w:t>苯并</w:t>
            </w:r>
            <w:r>
              <w:rPr>
                <w:rFonts w:eastAsia="Times New Roman"/>
                <w:color w:val="auto"/>
                <w:spacing w:val="4"/>
              </w:rPr>
              <w:t>[a]</w:t>
            </w:r>
            <w:r>
              <w:rPr>
                <w:color w:val="auto"/>
                <w:spacing w:val="4"/>
              </w:rPr>
              <w:t>芘</w:t>
            </w:r>
          </w:p>
        </w:tc>
        <w:tc>
          <w:tcPr>
            <w:tcW w:w="158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19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489"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widowControl/>
              <w:jc w:val="center"/>
              <w:textAlignment w:val="center"/>
              <w:rPr>
                <w:color w:val="auto"/>
                <w:sz w:val="32"/>
                <w:szCs w:val="32"/>
              </w:rPr>
            </w:pPr>
            <w:r>
              <w:rPr>
                <w:rFonts w:hint="eastAsia" w:hAnsi="宋体" w:cs="宋体"/>
                <w:color w:val="auto"/>
                <w:sz w:val="24"/>
                <w:szCs w:val="24"/>
                <w:lang w:val="en-US" w:eastAsia="zh-CN"/>
              </w:rPr>
              <w:t>8.88</w:t>
            </w:r>
            <w:r>
              <w:rPr>
                <w:rFonts w:hint="eastAsia" w:hAnsi="宋体" w:cs="宋体"/>
                <w:color w:val="auto"/>
                <w:sz w:val="24"/>
                <w:szCs w:val="24"/>
              </w:rPr>
              <w:t>×10</w:t>
            </w:r>
            <w:r>
              <w:rPr>
                <w:rFonts w:hint="eastAsia" w:hAnsi="宋体" w:cs="宋体"/>
                <w:color w:val="auto"/>
                <w:sz w:val="24"/>
                <w:szCs w:val="24"/>
                <w:vertAlign w:val="superscript"/>
              </w:rPr>
              <w:t>-6</w:t>
            </w:r>
            <w:r>
              <w:rPr>
                <w:color w:val="auto"/>
              </w:rPr>
              <w:t>t/a</w:t>
            </w:r>
          </w:p>
        </w:tc>
        <w:tc>
          <w:tcPr>
            <w:tcW w:w="1506"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hAnsi="宋体" w:cs="宋体"/>
                <w:color w:val="auto"/>
                <w:sz w:val="24"/>
                <w:szCs w:val="24"/>
                <w:lang w:val="en-US" w:eastAsia="zh-CN"/>
              </w:rPr>
              <w:t>8.88</w:t>
            </w:r>
            <w:r>
              <w:rPr>
                <w:rFonts w:hint="eastAsia" w:hAnsi="宋体" w:cs="宋体"/>
                <w:color w:val="auto"/>
                <w:sz w:val="24"/>
                <w:szCs w:val="24"/>
              </w:rPr>
              <w:t>×10</w:t>
            </w:r>
            <w:r>
              <w:rPr>
                <w:rFonts w:hint="eastAsia" w:hAnsi="宋体" w:cs="宋体"/>
                <w:color w:val="auto"/>
                <w:sz w:val="24"/>
                <w:szCs w:val="24"/>
                <w:vertAlign w:val="superscript"/>
              </w:rPr>
              <w:t>-6</w:t>
            </w:r>
            <w:r>
              <w:rPr>
                <w:color w:val="auto"/>
              </w:rPr>
              <w:t>t/a</w:t>
            </w:r>
          </w:p>
        </w:tc>
        <w:tc>
          <w:tcPr>
            <w:tcW w:w="1540"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hAnsi="宋体" w:cs="宋体"/>
                <w:color w:val="auto"/>
                <w:sz w:val="24"/>
                <w:szCs w:val="24"/>
                <w:lang w:val="en-US" w:eastAsia="zh-CN"/>
              </w:rPr>
              <w:t>8.88</w:t>
            </w:r>
            <w:r>
              <w:rPr>
                <w:rFonts w:hint="eastAsia" w:hAnsi="宋体" w:cs="宋体"/>
                <w:color w:val="auto"/>
                <w:sz w:val="24"/>
                <w:szCs w:val="24"/>
              </w:rPr>
              <w:t>×10</w:t>
            </w:r>
            <w:r>
              <w:rPr>
                <w:rFonts w:hint="eastAsia" w:hAnsi="宋体" w:cs="宋体"/>
                <w:color w:val="auto"/>
                <w:sz w:val="24"/>
                <w:szCs w:val="24"/>
                <w:vertAlign w:val="superscript"/>
              </w:rPr>
              <w:t>-6</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rFonts w:hint="eastAsia" w:eastAsia="宋体"/>
                <w:snapToGrid w:val="0"/>
                <w:color w:val="auto"/>
                <w:kern w:val="21"/>
                <w:lang w:val="en-US" w:eastAsia="zh-CN"/>
              </w:rPr>
            </w:pPr>
            <w:r>
              <w:rPr>
                <w:rFonts w:hint="eastAsia"/>
                <w:snapToGrid w:val="0"/>
                <w:color w:val="auto"/>
                <w:kern w:val="21"/>
                <w:lang w:val="en-US" w:eastAsia="zh-CN"/>
              </w:rPr>
              <w:t>非甲烷总烃</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widowControl/>
              <w:jc w:val="center"/>
              <w:textAlignment w:val="center"/>
              <w:rPr>
                <w:rFonts w:hint="default" w:eastAsia="宋体"/>
                <w:color w:val="auto"/>
                <w:lang w:val="en-US" w:eastAsia="zh-CN"/>
              </w:rPr>
            </w:pPr>
            <w:r>
              <w:rPr>
                <w:rFonts w:hint="eastAsia"/>
                <w:color w:val="auto"/>
                <w:lang w:val="en-US" w:eastAsia="zh-CN"/>
              </w:rPr>
              <w:t>0.003t/a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0.003t/a</w:t>
            </w:r>
          </w:p>
        </w:tc>
        <w:tc>
          <w:tcPr>
            <w:tcW w:w="1540" w:type="dxa"/>
            <w:tcBorders>
              <w:top w:val="single" w:color="auto" w:sz="4" w:space="0"/>
              <w:bottom w:val="single" w:color="auto" w:sz="4" w:space="0"/>
            </w:tcBorders>
            <w:shd w:val="clear" w:color="auto" w:fill="auto"/>
            <w:vAlign w:val="center"/>
          </w:tcPr>
          <w:p>
            <w:pPr>
              <w:widowControl/>
              <w:jc w:val="center"/>
              <w:textAlignment w:val="center"/>
              <w:rPr>
                <w:color w:val="auto"/>
              </w:rPr>
            </w:pPr>
            <w:r>
              <w:rPr>
                <w:rFonts w:hint="eastAsia"/>
                <w:color w:val="auto"/>
                <w:lang w:val="en-US" w:eastAsia="zh-CN"/>
              </w:rPr>
              <w:t>0.003t/a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restart"/>
            <w:tcBorders>
              <w:top w:val="single" w:color="auto" w:sz="4" w:space="0"/>
            </w:tcBorders>
            <w:vAlign w:val="center"/>
          </w:tcPr>
          <w:p>
            <w:pPr>
              <w:pStyle w:val="46"/>
              <w:spacing w:beforeLines="0" w:afterLines="0" w:line="240" w:lineRule="auto"/>
              <w:rPr>
                <w:rFonts w:ascii="Times New Roman" w:hAnsi="Times New Roman" w:eastAsia="宋体" w:cs="Times New Roman"/>
                <w:snapToGrid w:val="0"/>
                <w:color w:val="auto"/>
                <w:kern w:val="21"/>
                <w:szCs w:val="24"/>
              </w:rPr>
            </w:pPr>
            <w:r>
              <w:rPr>
                <w:rFonts w:ascii="Times New Roman" w:hAnsi="Times New Roman" w:eastAsia="宋体" w:cs="Times New Roman"/>
                <w:snapToGrid w:val="0"/>
                <w:color w:val="auto"/>
                <w:kern w:val="21"/>
                <w:szCs w:val="24"/>
              </w:rPr>
              <w:t>废水</w:t>
            </w: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snapToGrid w:val="0"/>
                <w:color w:val="auto"/>
                <w:kern w:val="21"/>
              </w:rPr>
              <w:t>COD</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540" w:type="dxa"/>
            <w:tcBorders>
              <w:top w:val="single" w:color="auto" w:sz="4" w:space="0"/>
              <w:bottom w:val="single" w:color="auto" w:sz="4" w:space="0"/>
            </w:tcBorders>
            <w:shd w:val="clear" w:color="auto" w:fill="auto"/>
            <w:vAlign w:val="center"/>
          </w:tcPr>
          <w:p>
            <w:pPr>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snapToGrid w:val="0"/>
                <w:color w:val="auto"/>
                <w:kern w:val="21"/>
              </w:rPr>
              <w:t>氨氮</w:t>
            </w:r>
          </w:p>
        </w:tc>
        <w:tc>
          <w:tcPr>
            <w:tcW w:w="158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19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489"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jc w:val="center"/>
              <w:rPr>
                <w:color w:val="auto"/>
                <w:kern w:val="0"/>
                <w:lang w:bidi="ar"/>
              </w:rPr>
            </w:pPr>
            <w:r>
              <w:rPr>
                <w:color w:val="auto"/>
              </w:rPr>
              <w:t>/</w:t>
            </w:r>
          </w:p>
        </w:tc>
        <w:tc>
          <w:tcPr>
            <w:tcW w:w="1506"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540" w:type="dxa"/>
            <w:tcBorders>
              <w:top w:val="single" w:color="auto" w:sz="4" w:space="0"/>
              <w:bottom w:val="single" w:color="auto" w:sz="4" w:space="0"/>
            </w:tcBorders>
            <w:shd w:val="clear" w:color="auto" w:fill="auto"/>
            <w:vAlign w:val="center"/>
          </w:tcPr>
          <w:p>
            <w:pPr>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restart"/>
            <w:tcBorders>
              <w:top w:val="single" w:color="auto" w:sz="4" w:space="0"/>
            </w:tcBorders>
            <w:vAlign w:val="center"/>
          </w:tcPr>
          <w:p>
            <w:pPr>
              <w:pStyle w:val="46"/>
              <w:spacing w:beforeLines="0" w:afterLines="0" w:line="240" w:lineRule="auto"/>
              <w:rPr>
                <w:rFonts w:ascii="Times New Roman" w:hAnsi="Times New Roman" w:eastAsia="宋体" w:cs="Times New Roman"/>
                <w:snapToGrid w:val="0"/>
                <w:color w:val="auto"/>
                <w:kern w:val="21"/>
                <w:szCs w:val="24"/>
              </w:rPr>
            </w:pPr>
            <w:r>
              <w:rPr>
                <w:rFonts w:ascii="Times New Roman" w:hAnsi="Times New Roman" w:eastAsia="宋体" w:cs="Times New Roman"/>
                <w:snapToGrid w:val="0"/>
                <w:color w:val="auto"/>
                <w:kern w:val="21"/>
                <w:szCs w:val="24"/>
              </w:rPr>
              <w:t>一般工业</w:t>
            </w:r>
          </w:p>
          <w:p>
            <w:pPr>
              <w:pStyle w:val="46"/>
              <w:spacing w:beforeLines="0" w:afterLines="0" w:line="240" w:lineRule="auto"/>
              <w:rPr>
                <w:rFonts w:ascii="Times New Roman" w:hAnsi="Times New Roman" w:eastAsia="宋体" w:cs="Times New Roman"/>
                <w:snapToGrid w:val="0"/>
                <w:color w:val="auto"/>
                <w:kern w:val="21"/>
                <w:szCs w:val="24"/>
              </w:rPr>
            </w:pPr>
            <w:r>
              <w:rPr>
                <w:rFonts w:ascii="Times New Roman" w:hAnsi="Times New Roman" w:eastAsia="宋体" w:cs="Times New Roman"/>
                <w:snapToGrid w:val="0"/>
                <w:color w:val="auto"/>
                <w:kern w:val="21"/>
                <w:szCs w:val="24"/>
              </w:rPr>
              <w:t>固体废物</w:t>
            </w:r>
          </w:p>
        </w:tc>
        <w:tc>
          <w:tcPr>
            <w:tcW w:w="2193" w:type="dxa"/>
            <w:tcBorders>
              <w:top w:val="single" w:color="auto" w:sz="4" w:space="0"/>
              <w:bottom w:val="single" w:color="auto" w:sz="4" w:space="0"/>
            </w:tcBorders>
            <w:shd w:val="clear" w:color="auto" w:fill="auto"/>
            <w:vAlign w:val="center"/>
          </w:tcPr>
          <w:p>
            <w:pPr>
              <w:pStyle w:val="91"/>
              <w:adjustRightInd w:val="0"/>
              <w:snapToGrid w:val="0"/>
              <w:spacing w:before="24" w:after="24" w:line="240" w:lineRule="auto"/>
              <w:rPr>
                <w:rFonts w:hint="default"/>
                <w:snapToGrid w:val="0"/>
                <w:color w:val="auto"/>
                <w:kern w:val="21"/>
                <w:sz w:val="24"/>
                <w:szCs w:val="24"/>
              </w:rPr>
            </w:pPr>
            <w:r>
              <w:rPr>
                <w:rFonts w:hint="default"/>
                <w:color w:val="auto"/>
                <w:sz w:val="24"/>
                <w:szCs w:val="24"/>
              </w:rPr>
              <w:t>除尘器收尘</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35.95</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35.95</w:t>
            </w:r>
            <w:r>
              <w:rPr>
                <w:color w:val="auto"/>
              </w:rPr>
              <w:t>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35.95</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pStyle w:val="91"/>
              <w:adjustRightInd w:val="0"/>
              <w:snapToGrid w:val="0"/>
              <w:spacing w:before="24" w:after="24" w:line="240" w:lineRule="auto"/>
              <w:rPr>
                <w:rFonts w:hint="default"/>
                <w:color w:val="auto"/>
                <w:sz w:val="24"/>
                <w:szCs w:val="24"/>
              </w:rPr>
            </w:pPr>
            <w:r>
              <w:rPr>
                <w:color w:val="auto"/>
                <w:sz w:val="24"/>
                <w:szCs w:val="24"/>
              </w:rPr>
              <w:t>废石料</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109.442</w:t>
            </w:r>
            <w:r>
              <w:rPr>
                <w:rFonts w:hint="eastAsia"/>
                <w:color w:val="auto"/>
              </w:rPr>
              <w:t>4</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109.442</w:t>
            </w:r>
            <w:r>
              <w:rPr>
                <w:rFonts w:hint="eastAsia"/>
                <w:color w:val="auto"/>
              </w:rPr>
              <w:t>4</w:t>
            </w:r>
            <w:r>
              <w:rPr>
                <w:color w:val="auto"/>
              </w:rPr>
              <w:t>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109.442</w:t>
            </w:r>
            <w:r>
              <w:rPr>
                <w:rFonts w:hint="eastAsia"/>
                <w:color w:val="auto"/>
              </w:rPr>
              <w:t>4</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adjustRightInd w:val="0"/>
              <w:snapToGrid w:val="0"/>
              <w:jc w:val="center"/>
              <w:rPr>
                <w:snapToGrid w:val="0"/>
                <w:color w:val="auto"/>
                <w:kern w:val="21"/>
              </w:rPr>
            </w:pPr>
            <w:r>
              <w:rPr>
                <w:rFonts w:hint="eastAsia"/>
                <w:snapToGrid w:val="0"/>
                <w:color w:val="auto"/>
                <w:kern w:val="21"/>
              </w:rPr>
              <w:t>滴漏沥青及</w:t>
            </w:r>
            <w:r>
              <w:rPr>
                <w:rFonts w:hint="eastAsia"/>
                <w:snapToGrid w:val="0"/>
                <w:color w:val="auto"/>
                <w:kern w:val="21"/>
                <w:lang w:eastAsia="zh-CN"/>
              </w:rPr>
              <w:t>拌和</w:t>
            </w:r>
            <w:r>
              <w:rPr>
                <w:rFonts w:hint="eastAsia"/>
                <w:snapToGrid w:val="0"/>
                <w:color w:val="auto"/>
                <w:kern w:val="21"/>
              </w:rPr>
              <w:t>残渣</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0.1</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0.1</w:t>
            </w:r>
            <w:r>
              <w:rPr>
                <w:color w:val="auto"/>
              </w:rPr>
              <w:t>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0.1</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adjustRightInd w:val="0"/>
              <w:snapToGrid w:val="0"/>
              <w:jc w:val="center"/>
              <w:rPr>
                <w:snapToGrid w:val="0"/>
                <w:color w:val="auto"/>
                <w:kern w:val="21"/>
              </w:rPr>
            </w:pPr>
            <w:r>
              <w:rPr>
                <w:color w:val="auto"/>
              </w:rPr>
              <w:t>废除尘布袋</w:t>
            </w:r>
            <w:r>
              <w:rPr>
                <w:rFonts w:hint="eastAsia"/>
                <w:color w:val="auto"/>
              </w:rPr>
              <w:t>（</w:t>
            </w:r>
            <w:r>
              <w:rPr>
                <w:rFonts w:hint="eastAsia"/>
                <w:color w:val="auto"/>
                <w:lang w:val="en-US" w:eastAsia="zh-CN"/>
              </w:rPr>
              <w:t>粉尘</w:t>
            </w:r>
            <w:r>
              <w:rPr>
                <w:rFonts w:hint="eastAsia"/>
                <w:color w:val="auto"/>
              </w:rPr>
              <w:t>）</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0.2</w:t>
            </w:r>
            <w:r>
              <w:rPr>
                <w:color w:val="auto"/>
              </w:rPr>
              <w:t>t/</w:t>
            </w:r>
            <w:r>
              <w:rPr>
                <w:rFonts w:hint="eastAsia"/>
                <w:color w:val="auto"/>
              </w:rPr>
              <w:t>5</w:t>
            </w:r>
            <w:r>
              <w:rPr>
                <w:color w:val="auto"/>
              </w:rPr>
              <w: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0.2</w:t>
            </w:r>
            <w:r>
              <w:rPr>
                <w:color w:val="auto"/>
              </w:rPr>
              <w:t>t/</w:t>
            </w:r>
            <w:r>
              <w:rPr>
                <w:rFonts w:hint="eastAsia"/>
                <w:color w:val="auto"/>
              </w:rPr>
              <w:t>5</w:t>
            </w:r>
            <w:r>
              <w:rPr>
                <w:color w:val="auto"/>
              </w:rPr>
              <w: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0.2</w:t>
            </w:r>
            <w:r>
              <w:rPr>
                <w:color w:val="auto"/>
              </w:rPr>
              <w:t>t/</w:t>
            </w:r>
            <w:r>
              <w:rPr>
                <w:rFonts w:hint="eastAsia"/>
                <w:color w:val="auto"/>
              </w:rPr>
              <w:t>5</w:t>
            </w:r>
            <w:r>
              <w:rPr>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tcBorders>
              <w:bottom w:val="single" w:color="auto" w:sz="4" w:space="0"/>
            </w:tcBorders>
            <w:vAlign w:val="center"/>
          </w:tcPr>
          <w:p>
            <w:pPr>
              <w:pStyle w:val="46"/>
              <w:spacing w:beforeLines="0" w:afterLines="0" w:line="240" w:lineRule="auto"/>
              <w:rPr>
                <w:rFonts w:hint="eastAsia" w:ascii="Times New Roman" w:hAnsi="Times New Roman" w:eastAsia="宋体" w:cs="Times New Roman"/>
                <w:snapToGrid w:val="0"/>
                <w:color w:val="auto"/>
                <w:kern w:val="21"/>
                <w:szCs w:val="24"/>
                <w:lang w:val="en-US" w:eastAsia="zh-CN"/>
              </w:rPr>
            </w:pPr>
            <w:r>
              <w:rPr>
                <w:rFonts w:hint="eastAsia" w:ascii="Times New Roman" w:hAnsi="Times New Roman" w:eastAsia="宋体" w:cs="Times New Roman"/>
                <w:snapToGrid w:val="0"/>
                <w:color w:val="auto"/>
                <w:kern w:val="21"/>
                <w:szCs w:val="24"/>
                <w:lang w:val="en-US" w:eastAsia="zh-CN"/>
              </w:rPr>
              <w:t>/</w:t>
            </w: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snapToGrid w:val="0"/>
                <w:color w:val="auto"/>
                <w:kern w:val="21"/>
              </w:rPr>
              <w:t>生活垃圾</w:t>
            </w:r>
          </w:p>
        </w:tc>
        <w:tc>
          <w:tcPr>
            <w:tcW w:w="158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19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489"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505"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0.27</w:t>
            </w:r>
            <w:r>
              <w:rPr>
                <w:color w:val="auto"/>
              </w:rPr>
              <w:t>t/a</w:t>
            </w:r>
          </w:p>
        </w:tc>
        <w:tc>
          <w:tcPr>
            <w:tcW w:w="1506"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0.27</w:t>
            </w:r>
            <w:r>
              <w:rPr>
                <w:color w:val="auto"/>
              </w:rPr>
              <w:t>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lang w:val="en-US" w:eastAsia="zh-CN"/>
              </w:rPr>
              <w:t>0.27</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restart"/>
            <w:tcBorders>
              <w:top w:val="single" w:color="auto" w:sz="4" w:space="0"/>
            </w:tcBorders>
            <w:vAlign w:val="center"/>
          </w:tcPr>
          <w:p>
            <w:pPr>
              <w:pStyle w:val="46"/>
              <w:spacing w:beforeLines="0" w:afterLines="0" w:line="240" w:lineRule="auto"/>
              <w:rPr>
                <w:rFonts w:ascii="Times New Roman" w:hAnsi="Times New Roman" w:eastAsia="宋体" w:cs="Times New Roman"/>
                <w:snapToGrid w:val="0"/>
                <w:color w:val="auto"/>
                <w:kern w:val="21"/>
                <w:szCs w:val="24"/>
              </w:rPr>
            </w:pPr>
            <w:r>
              <w:rPr>
                <w:rFonts w:ascii="Times New Roman" w:hAnsi="Times New Roman" w:eastAsia="宋体" w:cs="Times New Roman"/>
                <w:snapToGrid w:val="0"/>
                <w:color w:val="auto"/>
                <w:kern w:val="21"/>
                <w:szCs w:val="24"/>
              </w:rPr>
              <w:t>危险废物</w:t>
            </w: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rFonts w:hint="eastAsia"/>
                <w:snapToGrid w:val="0"/>
                <w:color w:val="auto"/>
                <w:kern w:val="21"/>
              </w:rPr>
              <w:t>废活性炭</w:t>
            </w:r>
          </w:p>
        </w:tc>
        <w:tc>
          <w:tcPr>
            <w:tcW w:w="158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195" w:type="dxa"/>
            <w:tcBorders>
              <w:top w:val="single" w:color="auto" w:sz="4" w:space="0"/>
              <w:bottom w:val="single" w:color="auto" w:sz="4" w:space="0"/>
            </w:tcBorders>
            <w:shd w:val="clear" w:color="auto" w:fill="auto"/>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vAlign w:val="center"/>
          </w:tcPr>
          <w:p>
            <w:pPr>
              <w:jc w:val="center"/>
              <w:rPr>
                <w:color w:val="auto"/>
              </w:rPr>
            </w:pPr>
            <w:r>
              <w:rPr>
                <w:rFonts w:hint="eastAsia"/>
                <w:color w:val="auto"/>
              </w:rPr>
              <w:t>2</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2</w:t>
            </w:r>
            <w:r>
              <w:rPr>
                <w:color w:val="auto"/>
              </w:rPr>
              <w:t>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2</w:t>
            </w:r>
            <w:r>
              <w:rPr>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rFonts w:hint="eastAsia" w:eastAsia="宋体"/>
                <w:snapToGrid w:val="0"/>
                <w:color w:val="auto"/>
                <w:kern w:val="21"/>
                <w:lang w:val="en-US" w:eastAsia="zh-CN"/>
              </w:rPr>
            </w:pPr>
            <w:r>
              <w:rPr>
                <w:rFonts w:hint="eastAsia"/>
                <w:snapToGrid w:val="0"/>
                <w:color w:val="auto"/>
                <w:kern w:val="21"/>
                <w:lang w:val="en-US" w:eastAsia="zh-CN"/>
              </w:rPr>
              <w:t>废布袋（沥青）</w:t>
            </w:r>
          </w:p>
        </w:tc>
        <w:tc>
          <w:tcPr>
            <w:tcW w:w="1585" w:type="dxa"/>
            <w:tcBorders>
              <w:top w:val="single" w:color="auto" w:sz="4" w:space="0"/>
              <w:bottom w:val="single" w:color="auto" w:sz="4" w:space="0"/>
            </w:tcBorders>
            <w:shd w:val="clear" w:color="auto" w:fill="auto"/>
            <w:vAlign w:val="center"/>
          </w:tcPr>
          <w:p>
            <w:pPr>
              <w:jc w:val="center"/>
              <w:rPr>
                <w:color w:val="auto"/>
              </w:rPr>
            </w:pPr>
          </w:p>
        </w:tc>
        <w:tc>
          <w:tcPr>
            <w:tcW w:w="1195" w:type="dxa"/>
            <w:tcBorders>
              <w:top w:val="single" w:color="auto" w:sz="4" w:space="0"/>
              <w:bottom w:val="single" w:color="auto" w:sz="4" w:space="0"/>
            </w:tcBorders>
            <w:shd w:val="clear" w:color="auto" w:fill="auto"/>
            <w:vAlign w:val="center"/>
          </w:tcPr>
          <w:p>
            <w:pPr>
              <w:jc w:val="center"/>
              <w:rPr>
                <w:color w:val="auto"/>
              </w:rPr>
            </w:pPr>
          </w:p>
        </w:tc>
        <w:tc>
          <w:tcPr>
            <w:tcW w:w="1489" w:type="dxa"/>
            <w:tcBorders>
              <w:top w:val="single" w:color="auto" w:sz="4" w:space="0"/>
              <w:bottom w:val="single" w:color="auto" w:sz="4" w:space="0"/>
            </w:tcBorders>
            <w:vAlign w:val="center"/>
          </w:tcPr>
          <w:p>
            <w:pPr>
              <w:jc w:val="center"/>
              <w:rPr>
                <w:color w:val="auto"/>
              </w:rPr>
            </w:pPr>
          </w:p>
        </w:tc>
        <w:tc>
          <w:tcPr>
            <w:tcW w:w="1505" w:type="dxa"/>
            <w:tcBorders>
              <w:top w:val="single" w:color="auto" w:sz="4" w:space="0"/>
              <w:bottom w:val="single" w:color="auto" w:sz="4" w:space="0"/>
            </w:tcBorders>
            <w:vAlign w:val="center"/>
          </w:tcPr>
          <w:p>
            <w:pPr>
              <w:jc w:val="center"/>
              <w:rPr>
                <w:rFonts w:hint="default" w:eastAsia="宋体"/>
                <w:color w:val="auto"/>
                <w:lang w:val="en-US" w:eastAsia="zh-CN"/>
              </w:rPr>
            </w:pPr>
            <w:r>
              <w:rPr>
                <w:rFonts w:hint="eastAsia"/>
                <w:color w:val="auto"/>
                <w:lang w:val="en-US" w:eastAsia="zh-CN"/>
              </w:rPr>
              <w:t>0.1t/5a</w:t>
            </w:r>
          </w:p>
        </w:tc>
        <w:tc>
          <w:tcPr>
            <w:tcW w:w="1506" w:type="dxa"/>
            <w:tcBorders>
              <w:top w:val="single" w:color="auto" w:sz="4" w:space="0"/>
              <w:bottom w:val="single" w:color="auto" w:sz="4" w:space="0"/>
            </w:tcBorders>
            <w:vAlign w:val="center"/>
          </w:tcPr>
          <w:p>
            <w:pPr>
              <w:jc w:val="center"/>
              <w:rPr>
                <w:color w:val="auto"/>
              </w:rPr>
            </w:pPr>
          </w:p>
        </w:tc>
        <w:tc>
          <w:tcPr>
            <w:tcW w:w="1847" w:type="dxa"/>
            <w:tcBorders>
              <w:top w:val="single" w:color="auto" w:sz="4" w:space="0"/>
              <w:bottom w:val="single" w:color="auto" w:sz="4" w:space="0"/>
            </w:tcBorders>
            <w:shd w:val="clear" w:color="auto" w:fill="auto"/>
            <w:vAlign w:val="center"/>
          </w:tcPr>
          <w:p>
            <w:pPr>
              <w:jc w:val="center"/>
              <w:rPr>
                <w:rFonts w:hint="eastAsia"/>
                <w:color w:val="auto"/>
              </w:rPr>
            </w:pPr>
            <w:r>
              <w:rPr>
                <w:rFonts w:hint="eastAsia"/>
                <w:color w:val="auto"/>
                <w:lang w:val="en-US" w:eastAsia="zh-CN"/>
              </w:rPr>
              <w:t>0.1t/5a</w:t>
            </w:r>
          </w:p>
        </w:tc>
        <w:tc>
          <w:tcPr>
            <w:tcW w:w="1540" w:type="dxa"/>
            <w:tcBorders>
              <w:top w:val="single" w:color="auto" w:sz="4" w:space="0"/>
              <w:bottom w:val="single" w:color="auto" w:sz="4" w:space="0"/>
            </w:tcBorders>
            <w:shd w:val="clear" w:color="auto" w:fill="auto"/>
            <w:vAlign w:val="center"/>
          </w:tcPr>
          <w:p>
            <w:pPr>
              <w:jc w:val="center"/>
              <w:rPr>
                <w:rFonts w:hint="eastAsia"/>
                <w:color w:val="auto"/>
              </w:rPr>
            </w:pPr>
            <w:r>
              <w:rPr>
                <w:rFonts w:hint="eastAsia"/>
                <w:color w:val="auto"/>
                <w:lang w:val="en-US" w:eastAsia="zh-CN"/>
              </w:rPr>
              <w:t>0.1t/5a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 w:type="dxa"/>
            <w:vMerge w:val="continue"/>
            <w:vAlign w:val="center"/>
          </w:tcPr>
          <w:p>
            <w:pPr>
              <w:pStyle w:val="46"/>
              <w:spacing w:beforeLines="0" w:afterLines="0" w:line="240" w:lineRule="auto"/>
              <w:rPr>
                <w:rFonts w:ascii="Times New Roman" w:hAnsi="Times New Roman" w:eastAsia="宋体" w:cs="Times New Roman"/>
                <w:snapToGrid w:val="0"/>
                <w:color w:val="auto"/>
                <w:kern w:val="21"/>
                <w:szCs w:val="24"/>
              </w:rPr>
            </w:pPr>
          </w:p>
        </w:tc>
        <w:tc>
          <w:tcPr>
            <w:tcW w:w="2193" w:type="dxa"/>
            <w:tcBorders>
              <w:top w:val="single" w:color="auto" w:sz="4" w:space="0"/>
              <w:bottom w:val="single" w:color="auto" w:sz="4" w:space="0"/>
            </w:tcBorders>
            <w:shd w:val="clear" w:color="auto" w:fill="auto"/>
            <w:vAlign w:val="center"/>
          </w:tcPr>
          <w:p>
            <w:pPr>
              <w:jc w:val="center"/>
              <w:rPr>
                <w:snapToGrid w:val="0"/>
                <w:color w:val="auto"/>
                <w:kern w:val="21"/>
              </w:rPr>
            </w:pPr>
            <w:r>
              <w:rPr>
                <w:rFonts w:hint="eastAsia"/>
                <w:snapToGrid w:val="0"/>
                <w:color w:val="auto"/>
                <w:kern w:val="21"/>
              </w:rPr>
              <w:t>废导热油</w:t>
            </w:r>
          </w:p>
        </w:tc>
        <w:tc>
          <w:tcPr>
            <w:tcW w:w="1585" w:type="dxa"/>
            <w:tcBorders>
              <w:top w:val="single" w:color="auto" w:sz="4" w:space="0"/>
              <w:bottom w:val="single" w:color="auto" w:sz="4" w:space="0"/>
            </w:tcBorders>
            <w:vAlign w:val="center"/>
          </w:tcPr>
          <w:p>
            <w:pPr>
              <w:jc w:val="center"/>
              <w:rPr>
                <w:color w:val="auto"/>
              </w:rPr>
            </w:pPr>
            <w:r>
              <w:rPr>
                <w:color w:val="auto"/>
              </w:rPr>
              <w:t>/</w:t>
            </w:r>
          </w:p>
        </w:tc>
        <w:tc>
          <w:tcPr>
            <w:tcW w:w="1195" w:type="dxa"/>
            <w:tcBorders>
              <w:top w:val="single" w:color="auto" w:sz="4" w:space="0"/>
              <w:bottom w:val="single" w:color="auto" w:sz="4" w:space="0"/>
            </w:tcBorders>
            <w:vAlign w:val="center"/>
          </w:tcPr>
          <w:p>
            <w:pPr>
              <w:jc w:val="center"/>
              <w:rPr>
                <w:color w:val="auto"/>
              </w:rPr>
            </w:pPr>
            <w:r>
              <w:rPr>
                <w:color w:val="auto"/>
              </w:rPr>
              <w:t>/</w:t>
            </w:r>
          </w:p>
        </w:tc>
        <w:tc>
          <w:tcPr>
            <w:tcW w:w="1489" w:type="dxa"/>
            <w:tcBorders>
              <w:top w:val="single" w:color="auto" w:sz="4" w:space="0"/>
              <w:bottom w:val="single" w:color="auto" w:sz="4" w:space="0"/>
            </w:tcBorders>
            <w:vAlign w:val="center"/>
          </w:tcPr>
          <w:p>
            <w:pPr>
              <w:jc w:val="center"/>
              <w:rPr>
                <w:color w:val="auto"/>
              </w:rPr>
            </w:pPr>
            <w:r>
              <w:rPr>
                <w:color w:val="auto"/>
              </w:rPr>
              <w:t>/</w:t>
            </w:r>
          </w:p>
        </w:tc>
        <w:tc>
          <w:tcPr>
            <w:tcW w:w="1505" w:type="dxa"/>
            <w:tcBorders>
              <w:top w:val="single" w:color="auto" w:sz="4" w:space="0"/>
              <w:bottom w:val="single" w:color="auto" w:sz="4" w:space="0"/>
            </w:tcBorders>
            <w:vAlign w:val="center"/>
          </w:tcPr>
          <w:p>
            <w:pPr>
              <w:jc w:val="center"/>
              <w:rPr>
                <w:color w:val="auto"/>
              </w:rPr>
            </w:pPr>
            <w:r>
              <w:rPr>
                <w:rFonts w:hint="eastAsia"/>
                <w:color w:val="auto"/>
              </w:rPr>
              <w:t>0.</w:t>
            </w:r>
            <w:r>
              <w:rPr>
                <w:rFonts w:hint="eastAsia"/>
                <w:color w:val="auto"/>
                <w:lang w:val="en-US" w:eastAsia="zh-CN"/>
              </w:rPr>
              <w:t>5</w:t>
            </w:r>
            <w:r>
              <w:rPr>
                <w:color w:val="auto"/>
              </w:rPr>
              <w:t>t/a</w:t>
            </w:r>
          </w:p>
        </w:tc>
        <w:tc>
          <w:tcPr>
            <w:tcW w:w="1506" w:type="dxa"/>
            <w:tcBorders>
              <w:top w:val="single" w:color="auto" w:sz="4" w:space="0"/>
              <w:bottom w:val="single" w:color="auto" w:sz="4" w:space="0"/>
            </w:tcBorders>
            <w:vAlign w:val="center"/>
          </w:tcPr>
          <w:p>
            <w:pPr>
              <w:jc w:val="center"/>
              <w:rPr>
                <w:color w:val="auto"/>
              </w:rPr>
            </w:pPr>
            <w:r>
              <w:rPr>
                <w:color w:val="auto"/>
              </w:rPr>
              <w:t>/</w:t>
            </w:r>
          </w:p>
        </w:tc>
        <w:tc>
          <w:tcPr>
            <w:tcW w:w="1847"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w:t>
            </w:r>
            <w:r>
              <w:rPr>
                <w:rFonts w:hint="eastAsia"/>
                <w:color w:val="auto"/>
                <w:lang w:val="en-US" w:eastAsia="zh-CN"/>
              </w:rPr>
              <w:t>5</w:t>
            </w:r>
            <w:r>
              <w:rPr>
                <w:color w:val="auto"/>
              </w:rPr>
              <w:t>t/a</w:t>
            </w:r>
          </w:p>
        </w:tc>
        <w:tc>
          <w:tcPr>
            <w:tcW w:w="1540" w:type="dxa"/>
            <w:tcBorders>
              <w:top w:val="single" w:color="auto" w:sz="4" w:space="0"/>
              <w:bottom w:val="single" w:color="auto" w:sz="4" w:space="0"/>
            </w:tcBorders>
            <w:shd w:val="clear" w:color="auto" w:fill="auto"/>
            <w:vAlign w:val="center"/>
          </w:tcPr>
          <w:p>
            <w:pPr>
              <w:jc w:val="center"/>
              <w:rPr>
                <w:color w:val="auto"/>
              </w:rPr>
            </w:pPr>
            <w:r>
              <w:rPr>
                <w:rFonts w:hint="eastAsia"/>
                <w:color w:val="auto"/>
              </w:rPr>
              <w:t>0.</w:t>
            </w:r>
            <w:r>
              <w:rPr>
                <w:rFonts w:hint="eastAsia"/>
                <w:color w:val="auto"/>
                <w:lang w:val="en-US" w:eastAsia="zh-CN"/>
              </w:rPr>
              <w:t>5</w:t>
            </w:r>
            <w:r>
              <w:rPr>
                <w:color w:val="auto"/>
              </w:rPr>
              <w:t>t/a</w:t>
            </w:r>
          </w:p>
        </w:tc>
      </w:tr>
    </w:tbl>
    <w:p>
      <w:pPr>
        <w:rPr>
          <w:rFonts w:eastAsiaTheme="minorEastAsia"/>
          <w:color w:val="auto"/>
        </w:rPr>
      </w:pPr>
      <w:r>
        <w:rPr>
          <w:rFonts w:eastAsiaTheme="minorEastAsia"/>
          <w:color w:val="auto"/>
        </w:rPr>
        <w:t>注：⑥=①+③+④-⑤；⑦=⑥-①</w:t>
      </w:r>
    </w:p>
    <w:p>
      <w:pPr>
        <w:rPr>
          <w:color w:val="auto"/>
        </w:rPr>
        <w:sectPr>
          <w:footerReference r:id="rId8" w:type="default"/>
          <w:pgSz w:w="16838" w:h="11906" w:orient="landscape"/>
          <w:pgMar w:top="1531" w:right="1701" w:bottom="1531" w:left="1701" w:header="851" w:footer="992" w:gutter="0"/>
          <w:pgNumType w:start="64"/>
          <w:cols w:space="425" w:num="1"/>
          <w:docGrid w:linePitch="312" w:charSpace="0"/>
        </w:sectPr>
      </w:pPr>
    </w:p>
    <w:p>
      <w:pPr>
        <w:pStyle w:val="4"/>
        <w:jc w:val="left"/>
        <w:rPr>
          <w:color w:val="auto"/>
        </w:rPr>
      </w:pPr>
      <w:bookmarkStart w:id="51" w:name="_Toc27795"/>
      <w:bookmarkStart w:id="52" w:name="_Toc22691"/>
      <w:bookmarkStart w:id="53" w:name="_Toc14010"/>
      <w:bookmarkStart w:id="54" w:name="_Toc22405"/>
      <w:r>
        <w:rPr>
          <w:color w:val="auto"/>
        </w:rPr>
        <w:t>附图</w:t>
      </w:r>
      <w:r>
        <w:rPr>
          <w:rFonts w:hint="eastAsia"/>
          <w:color w:val="auto"/>
        </w:rPr>
        <w:t xml:space="preserve">1 </w:t>
      </w:r>
      <w:r>
        <w:rPr>
          <w:color w:val="auto"/>
        </w:rPr>
        <w:t>地理位置图</w:t>
      </w:r>
      <w:r>
        <w:rPr>
          <w:color w:val="auto"/>
        </w:rPr>
        <w:drawing>
          <wp:inline distT="0" distB="0" distL="114300" distR="114300">
            <wp:extent cx="0" cy="0"/>
            <wp:effectExtent l="0" t="0" r="0" b="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11"/>
                    <a:stretch>
                      <a:fillRect/>
                    </a:stretch>
                  </pic:blipFill>
                  <pic:spPr>
                    <a:xfrm>
                      <a:off x="0" y="0"/>
                      <a:ext cx="0" cy="0"/>
                    </a:xfrm>
                    <a:prstGeom prst="rect">
                      <a:avLst/>
                    </a:prstGeom>
                    <a:noFill/>
                    <a:ln>
                      <a:noFill/>
                    </a:ln>
                  </pic:spPr>
                </pic:pic>
              </a:graphicData>
            </a:graphic>
          </wp:inline>
        </w:drawing>
      </w:r>
      <w:bookmarkEnd w:id="51"/>
      <w:bookmarkEnd w:id="52"/>
      <w:bookmarkEnd w:id="53"/>
      <w:bookmarkEnd w:id="54"/>
    </w:p>
    <w:p>
      <w:pPr>
        <w:rPr>
          <w:color w:val="auto"/>
        </w:rPr>
      </w:pPr>
      <w:r>
        <w:rPr>
          <w:color w:val="auto"/>
        </w:rPr>
        <mc:AlternateContent>
          <mc:Choice Requires="wps">
            <w:drawing>
              <wp:anchor distT="0" distB="0" distL="114300" distR="114300" simplePos="0" relativeHeight="251668480" behindDoc="0" locked="0" layoutInCell="1" allowOverlap="1">
                <wp:simplePos x="0" y="0"/>
                <wp:positionH relativeFrom="column">
                  <wp:posOffset>3831590</wp:posOffset>
                </wp:positionH>
                <wp:positionV relativeFrom="paragraph">
                  <wp:posOffset>4658995</wp:posOffset>
                </wp:positionV>
                <wp:extent cx="1348105" cy="344170"/>
                <wp:effectExtent l="0" t="0" r="0" b="0"/>
                <wp:wrapNone/>
                <wp:docPr id="9" name="文本框 9"/>
                <wp:cNvGraphicFramePr/>
                <a:graphic xmlns:a="http://schemas.openxmlformats.org/drawingml/2006/main">
                  <a:graphicData uri="http://schemas.microsoft.com/office/word/2010/wordprocessingShape">
                    <wps:wsp>
                      <wps:cNvSpPr txBox="1"/>
                      <wps:spPr>
                        <a:xfrm>
                          <a:off x="4013835" y="2851785"/>
                          <a:ext cx="134810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本项目所在位置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7pt;margin-top:366.85pt;height:27.1pt;width:106.15pt;z-index:251668480;mso-width-relative:page;mso-height-relative:page;" filled="f" stroked="f" coordsize="21600,21600" o:gfxdata="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IjH99wAAAALAQAADwAAAAAAAAABACAAAAAiAAAAZHJzL2Rvd25yZXYueG1s&#10;UEsBAhQAFAAAAAgAh07iQEYmqIAtAgAAJAQAAA4AAAAAAAAAAQAgAAAAKwEAAGRycy9lMm9Eb2Mu&#10;eG1sUEsFBgAAAAAGAAYAWQEAAMoFAAAAAA==&#10;">
                <v:fill on="f" focussize="0,0"/>
                <v:stroke on="f" weight="0.5pt"/>
                <v:imagedata o:title=""/>
                <o:lock v:ext="edit" aspectratio="f"/>
                <v:textbox>
                  <w:txbxContent>
                    <w:p>
                      <w:r>
                        <w:rPr>
                          <w:rFonts w:hint="eastAsia"/>
                        </w:rPr>
                        <w:t>本项目所在位置</w:t>
                      </w:r>
                    </w:p>
                  </w:txbxContent>
                </v:textbox>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3594735</wp:posOffset>
                </wp:positionH>
                <wp:positionV relativeFrom="paragraph">
                  <wp:posOffset>5036185</wp:posOffset>
                </wp:positionV>
                <wp:extent cx="403225" cy="424815"/>
                <wp:effectExtent l="0" t="8890" r="15875" b="4445"/>
                <wp:wrapNone/>
                <wp:docPr id="8" name="直接箭头连接符 8"/>
                <wp:cNvGraphicFramePr/>
                <a:graphic xmlns:a="http://schemas.openxmlformats.org/drawingml/2006/main">
                  <a:graphicData uri="http://schemas.microsoft.com/office/word/2010/wordprocessingShape">
                    <wps:wsp>
                      <wps:cNvCnPr/>
                      <wps:spPr>
                        <a:xfrm flipH="1">
                          <a:off x="3618230" y="3276600"/>
                          <a:ext cx="403225" cy="42481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3.05pt;margin-top:396.55pt;height:33.45pt;width:31.75pt;z-index:251667456;mso-width-relative:page;mso-height-relative:page;" filled="f" stroked="t" coordsize="21600,21600" o:gfxdata="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Mi9fNoAAAALAQAADwAAAAAAAAABACAAAAAiAAAAZHJzL2Rvd25yZXYueG1s&#10;UEsBAhQAFAAAAAgAh07iQBk2+ST2AQAAlAMAAA4AAAAAAAAAAQAgAAAAKQEAAGRycy9lMm9Eb2Mu&#10;eG1sUEsFBgAAAAAGAAYAWQEAAJEFAAAAAA==&#10;">
                <v:fill on="f" focussize="0,0"/>
                <v:stroke weight="2pt" color="#FF0000 [3204]" joinstyle="round" endarrow="open"/>
                <v:imagedata o:title=""/>
                <o:lock v:ext="edit" aspectratio="f"/>
              </v:shape>
            </w:pict>
          </mc:Fallback>
        </mc:AlternateContent>
      </w:r>
      <w:r>
        <w:rPr>
          <w:color w:val="auto"/>
        </w:rPr>
        <w:drawing>
          <wp:anchor distT="0" distB="0" distL="114300" distR="114300" simplePos="0" relativeHeight="251670528" behindDoc="0" locked="0" layoutInCell="1" allowOverlap="1">
            <wp:simplePos x="0" y="0"/>
            <wp:positionH relativeFrom="column">
              <wp:posOffset>4680585</wp:posOffset>
            </wp:positionH>
            <wp:positionV relativeFrom="paragraph">
              <wp:posOffset>35560</wp:posOffset>
            </wp:positionV>
            <wp:extent cx="855345" cy="829945"/>
            <wp:effectExtent l="0" t="0" r="1905" b="8255"/>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4"/>
                    <a:stretch>
                      <a:fillRect/>
                    </a:stretch>
                  </pic:blipFill>
                  <pic:spPr>
                    <a:xfrm>
                      <a:off x="0" y="0"/>
                      <a:ext cx="855345" cy="829945"/>
                    </a:xfrm>
                    <a:prstGeom prst="rect">
                      <a:avLst/>
                    </a:prstGeom>
                    <a:noFill/>
                    <a:ln>
                      <a:noFill/>
                    </a:ln>
                  </pic:spPr>
                </pic:pic>
              </a:graphicData>
            </a:graphic>
          </wp:anchor>
        </w:drawing>
      </w:r>
      <w:r>
        <w:rPr>
          <w:color w:val="auto"/>
        </w:rPr>
        <w:drawing>
          <wp:inline distT="0" distB="0" distL="114300" distR="114300">
            <wp:extent cx="5613400" cy="6412230"/>
            <wp:effectExtent l="0" t="0" r="6350" b="762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5"/>
                    <a:stretch>
                      <a:fillRect/>
                    </a:stretch>
                  </pic:blipFill>
                  <pic:spPr>
                    <a:xfrm>
                      <a:off x="0" y="0"/>
                      <a:ext cx="5613400" cy="6412230"/>
                    </a:xfrm>
                    <a:prstGeom prst="rect">
                      <a:avLst/>
                    </a:prstGeom>
                    <a:noFill/>
                    <a:ln>
                      <a:noFill/>
                    </a:ln>
                  </pic:spPr>
                </pic:pic>
              </a:graphicData>
            </a:graphic>
          </wp:inline>
        </w:drawing>
      </w:r>
    </w:p>
    <w:p>
      <w:pPr>
        <w:rPr>
          <w:color w:val="auto"/>
        </w:rPr>
      </w:pPr>
      <w:r>
        <w:rPr>
          <w:rFonts w:hint="eastAsia"/>
          <w:color w:val="auto"/>
        </w:rPr>
        <w:br w:type="page"/>
      </w:r>
    </w:p>
    <w:p>
      <w:pPr>
        <w:pStyle w:val="4"/>
        <w:jc w:val="left"/>
        <w:rPr>
          <w:color w:val="auto"/>
          <w:sz w:val="24"/>
        </w:rPr>
      </w:pPr>
      <w:bookmarkStart w:id="55" w:name="_Toc18143"/>
      <w:bookmarkStart w:id="56" w:name="_Toc4384"/>
      <w:bookmarkStart w:id="57" w:name="_Toc16799"/>
      <w:bookmarkStart w:id="58" w:name="_Toc21420"/>
      <w:r>
        <w:rPr>
          <w:color w:val="auto"/>
        </w:rPr>
        <w:drawing>
          <wp:anchor distT="0" distB="0" distL="114300" distR="114300" simplePos="0" relativeHeight="251671552" behindDoc="0" locked="0" layoutInCell="1" allowOverlap="1">
            <wp:simplePos x="0" y="0"/>
            <wp:positionH relativeFrom="column">
              <wp:posOffset>4700270</wp:posOffset>
            </wp:positionH>
            <wp:positionV relativeFrom="paragraph">
              <wp:posOffset>203200</wp:posOffset>
            </wp:positionV>
            <wp:extent cx="855345" cy="829945"/>
            <wp:effectExtent l="0" t="0" r="1905" b="8255"/>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4"/>
                    <a:stretch>
                      <a:fillRect/>
                    </a:stretch>
                  </pic:blipFill>
                  <pic:spPr>
                    <a:xfrm>
                      <a:off x="0" y="0"/>
                      <a:ext cx="855345" cy="829945"/>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2624455</wp:posOffset>
                </wp:positionH>
                <wp:positionV relativeFrom="paragraph">
                  <wp:posOffset>-2535555</wp:posOffset>
                </wp:positionV>
                <wp:extent cx="1183640" cy="363855"/>
                <wp:effectExtent l="30480" t="83185" r="195580" b="600710"/>
                <wp:wrapNone/>
                <wp:docPr id="17" name="矩形标注 17"/>
                <wp:cNvGraphicFramePr/>
                <a:graphic xmlns:a="http://schemas.openxmlformats.org/drawingml/2006/main">
                  <a:graphicData uri="http://schemas.microsoft.com/office/word/2010/wordprocessingShape">
                    <wps:wsp>
                      <wps:cNvSpPr/>
                      <wps:spPr>
                        <a:xfrm rot="21180000">
                          <a:off x="0" y="0"/>
                          <a:ext cx="1183640" cy="363855"/>
                        </a:xfrm>
                        <a:prstGeom prst="wedgeRectCallout">
                          <a:avLst>
                            <a:gd name="adj1" fmla="val 56934"/>
                            <a:gd name="adj2" fmla="val 23435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color w:val="000000" w:themeColor="text1"/>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65pt;margin-top:-199.65pt;height:28.65pt;width:93.2pt;rotation:-458752f;z-index:251663360;v-text-anchor:middle;mso-width-relative:page;mso-height-relative:page;" filled="f" stroked="t" coordsize="21600,21600" o:gfxdata="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Y3KrG3AAAAA0B&#10;AAAPAAAAAAAAAAEAIAAAACIAAABkcnMvZG93bnJldi54bWxQSwECFAAUAAAACACHTuJAPaNktYkC&#10;AADmBAAADgAAAAAAAAABACAAAAArAQAAZHJzL2Uyb0RvYy54bWxQSwUGAAAAAAYABgBZAQAAJgYA&#10;AAAA&#10;" adj="23098,61420">
                <v:fill on="f" focussize="0,0"/>
                <v:stroke weight="2pt" color="#000000 [3213]" joinstyle="round"/>
                <v:imagedata o:title=""/>
                <o:lock v:ext="edit" aspectratio="f"/>
                <v:textbox>
                  <w:txbxContent>
                    <w:p>
                      <w:pPr>
                        <w:jc w:val="center"/>
                      </w:pPr>
                      <w:r>
                        <w:rPr>
                          <w:rFonts w:hint="eastAsia"/>
                          <w:color w:val="000000" w:themeColor="text1"/>
                          <w14:textFill>
                            <w14:solidFill>
                              <w14:schemeClr w14:val="tx1"/>
                            </w14:solidFill>
                          </w14:textFill>
                        </w:rPr>
                        <w:t>本项目位置</w:t>
                      </w:r>
                    </w:p>
                  </w:txbxContent>
                </v:textbox>
              </v:shape>
            </w:pict>
          </mc:Fallback>
        </mc:AlternateContent>
      </w: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3956685</wp:posOffset>
                </wp:positionH>
                <wp:positionV relativeFrom="paragraph">
                  <wp:posOffset>-1609725</wp:posOffset>
                </wp:positionV>
                <wp:extent cx="124460" cy="110490"/>
                <wp:effectExtent l="12700" t="12700" r="15240" b="29210"/>
                <wp:wrapNone/>
                <wp:docPr id="5" name="五角星 5"/>
                <wp:cNvGraphicFramePr/>
                <a:graphic xmlns:a="http://schemas.openxmlformats.org/drawingml/2006/main">
                  <a:graphicData uri="http://schemas.microsoft.com/office/word/2010/wordprocessingShape">
                    <wps:wsp>
                      <wps:cNvSpPr/>
                      <wps:spPr>
                        <a:xfrm>
                          <a:off x="4940300" y="3767455"/>
                          <a:ext cx="124460" cy="11049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55pt;margin-top:-126.75pt;height:8.7pt;width:9.8pt;z-index:251659264;v-text-anchor:middle;mso-width-relative:page;mso-height-relative:page;" fillcolor="#FF0000" filled="t" stroked="t" coordsize="124460,110490" o:gfxdata="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15&#10;X9LZAAAADQEAAA8AAAAAAAAAAQAgAAAAIgAAAGRycy9kb3ducmV2LnhtbFBLAQIUABQAAAAIAIdO&#10;4kDX7Ut8WwIAAJ4EAAAOAAAAAAAAAAEAIAAAACgBAABkcnMvZTJvRG9jLnhtbFBLBQYAAAAABgAG&#10;AFkBAAD1BQAAAAA=&#10;" path="m0,42203l47539,42203,62230,0,76920,42203,124459,42203,85999,68286,100690,110489,62230,84406,23769,110489,38460,68286xe">
                <v:path o:connectlocs="62230,0;0,42203;23769,110489;100690,110489;124459,42203" o:connectangles="247,164,82,82,0"/>
                <v:fill on="t" focussize="0,0"/>
                <v:stroke weight="2pt" color="#FF0000 [2404]" joinstyle="round"/>
                <v:imagedata o:title=""/>
                <o:lock v:ext="edit" aspectratio="f"/>
              </v:shape>
            </w:pict>
          </mc:Fallback>
        </mc:AlternateContent>
      </w:r>
      <w:r>
        <w:rPr>
          <w:color w:val="auto"/>
        </w:rPr>
        <w:drawing>
          <wp:anchor distT="0" distB="0" distL="114300" distR="114300" simplePos="0" relativeHeight="251660288" behindDoc="0" locked="0" layoutInCell="1" allowOverlap="1">
            <wp:simplePos x="0" y="0"/>
            <wp:positionH relativeFrom="column">
              <wp:posOffset>7049770</wp:posOffset>
            </wp:positionH>
            <wp:positionV relativeFrom="paragraph">
              <wp:posOffset>-5109845</wp:posOffset>
            </wp:positionV>
            <wp:extent cx="786765" cy="1012190"/>
            <wp:effectExtent l="0" t="0" r="13335" b="16510"/>
            <wp:wrapNone/>
            <wp:docPr id="57" name="图片 2" descr="00abca16565fc47c02d8d801cc1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00abca16565fc47c02d8d801cc1b692"/>
                    <pic:cNvPicPr>
                      <a:picLocks noChangeAspect="1"/>
                    </pic:cNvPicPr>
                  </pic:nvPicPr>
                  <pic:blipFill>
                    <a:blip r:embed="rId26"/>
                    <a:stretch>
                      <a:fillRect/>
                    </a:stretch>
                  </pic:blipFill>
                  <pic:spPr>
                    <a:xfrm>
                      <a:off x="0" y="0"/>
                      <a:ext cx="786765" cy="1012190"/>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4763770</wp:posOffset>
                </wp:positionH>
                <wp:positionV relativeFrom="paragraph">
                  <wp:posOffset>-5237480</wp:posOffset>
                </wp:positionV>
                <wp:extent cx="372745" cy="125095"/>
                <wp:effectExtent l="0" t="0" r="8255" b="8255"/>
                <wp:wrapNone/>
                <wp:docPr id="7" name="文本框 7"/>
                <wp:cNvGraphicFramePr/>
                <a:graphic xmlns:a="http://schemas.openxmlformats.org/drawingml/2006/main">
                  <a:graphicData uri="http://schemas.microsoft.com/office/word/2010/wordprocessingShape">
                    <wps:wsp>
                      <wps:cNvSpPr txBox="1"/>
                      <wps:spPr>
                        <a:xfrm>
                          <a:off x="0" y="0"/>
                          <a:ext cx="372745" cy="125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比例尺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5.1pt;margin-top:-412.4pt;height:9.85pt;width:29.35pt;z-index:251661312;mso-width-relative:page;mso-height-relative:page;" fillcolor="#FFFFFF [3201]" filled="t" stroked="f" coordsize="21600,21600" o:gfxdata="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HEH/tkAAAANAQAADwAAAAAAAAABACAAAAAiAAAAZHJzL2Rvd25yZXYueG1sUEsBAhQA&#10;FAAAAAgAh07iQH31VWIqAgAAMAQAAA4AAAAAAAAAAQAgAAAAKAEAAGRycy9lMm9Eb2MueG1sUEsF&#10;BgAAAAAGAAYAWQEAAMQFAAAAAA==&#10;">
                <v:fill on="t" focussize="0,0"/>
                <v:stroke on="f" weight="0.5pt"/>
                <v:imagedata o:title=""/>
                <o:lock v:ext="edit" aspectratio="f"/>
                <v:textbox inset="0mm,0mm,0mm,0mm">
                  <w:txbxContent>
                    <w:p>
                      <w:pPr>
                        <w:rPr>
                          <w:sz w:val="18"/>
                          <w:szCs w:val="18"/>
                        </w:rPr>
                      </w:pPr>
                      <w:r>
                        <w:rPr>
                          <w:rFonts w:hint="eastAsia"/>
                          <w:sz w:val="18"/>
                          <w:szCs w:val="18"/>
                        </w:rPr>
                        <w:t>比例尺</w:t>
                      </w:r>
                    </w:p>
                  </w:txbxContent>
                </v:textbox>
              </v:shape>
            </w:pict>
          </mc:Fallback>
        </mc:AlternateContent>
      </w:r>
      <w:r>
        <w:rPr>
          <w:color w:val="auto"/>
        </w:rPr>
        <w:t>附图</w:t>
      </w:r>
      <w:r>
        <w:rPr>
          <w:rFonts w:hint="eastAsia"/>
          <w:color w:val="auto"/>
        </w:rPr>
        <w:t xml:space="preserve">2 </w:t>
      </w:r>
      <w:r>
        <w:rPr>
          <w:color w:val="auto"/>
        </w:rPr>
        <w:t>平面布置图</w:t>
      </w:r>
      <w:bookmarkEnd w:id="55"/>
      <w:bookmarkEnd w:id="56"/>
      <w:bookmarkEnd w:id="57"/>
      <w:bookmarkEnd w:id="58"/>
    </w:p>
    <w:p>
      <w:pPr>
        <w:pStyle w:val="2"/>
        <w:ind w:firstLine="0" w:firstLineChars="0"/>
        <w:jc w:val="center"/>
        <w:rPr>
          <w:color w:val="auto"/>
        </w:rPr>
      </w:pPr>
      <w:r>
        <w:rPr>
          <w:color w:val="auto"/>
        </w:rPr>
        <w:drawing>
          <wp:inline distT="0" distB="0" distL="114300" distR="114300">
            <wp:extent cx="5614670" cy="5344795"/>
            <wp:effectExtent l="0" t="0" r="5080" b="825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7"/>
                    <a:stretch>
                      <a:fillRect/>
                    </a:stretch>
                  </pic:blipFill>
                  <pic:spPr>
                    <a:xfrm>
                      <a:off x="0" y="0"/>
                      <a:ext cx="5614670" cy="5344795"/>
                    </a:xfrm>
                    <a:prstGeom prst="rect">
                      <a:avLst/>
                    </a:prstGeom>
                    <a:noFill/>
                    <a:ln>
                      <a:noFill/>
                    </a:ln>
                  </pic:spPr>
                </pic:pic>
              </a:graphicData>
            </a:graphic>
          </wp:inline>
        </w:drawing>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1927225</wp:posOffset>
                </wp:positionH>
                <wp:positionV relativeFrom="paragraph">
                  <wp:posOffset>2675255</wp:posOffset>
                </wp:positionV>
                <wp:extent cx="636905" cy="405130"/>
                <wp:effectExtent l="12700" t="12700" r="17145" b="20320"/>
                <wp:wrapNone/>
                <wp:docPr id="126" name="矩形 126"/>
                <wp:cNvGraphicFramePr/>
                <a:graphic xmlns:a="http://schemas.openxmlformats.org/drawingml/2006/main">
                  <a:graphicData uri="http://schemas.microsoft.com/office/word/2010/wordprocessingShape">
                    <wps:wsp>
                      <wps:cNvSpPr/>
                      <wps:spPr>
                        <a:xfrm>
                          <a:off x="2899410" y="3937635"/>
                          <a:ext cx="636905" cy="4051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75pt;margin-top:210.65pt;height:31.9pt;width:50.15pt;z-index:251669504;v-text-anchor:middle;mso-width-relative:page;mso-height-relative:page;" filled="f" stroked="f" coordsize="21600,21600" o:gfxdata="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3Okg3ZAAAACwEAAA8AAAAAAAAAAQAgAAAAIgAA&#10;AGRycy9kb3ducmV2LnhtbFBLAQIUABQAAAAIAIdO4kBsIiczQAIAAEwEAAAOAAAAAAAAAAEAIAAA&#10;ACgBAABkcnMvZTJvRG9jLnhtbFBLBQYAAAAABgAGAFkBAADaBQAAAAA=&#10;">
                <v:fill on="f" focussize="0,0"/>
                <v:stroke on="f" weight="2pt"/>
                <v:imagedata o:title=""/>
                <o:lock v:ext="edit" aspectratio="f"/>
              </v:rect>
            </w:pict>
          </mc:Fallback>
        </mc:AlternateContent>
      </w:r>
    </w:p>
    <w:p>
      <w:pPr>
        <w:pStyle w:val="36"/>
        <w:rPr>
          <w:color w:val="auto"/>
        </w:rPr>
      </w:pPr>
    </w:p>
    <w:p>
      <w:pPr>
        <w:pStyle w:val="2"/>
        <w:ind w:firstLine="0" w:firstLineChars="0"/>
        <w:jc w:val="center"/>
        <w:rPr>
          <w:color w:val="auto"/>
        </w:rPr>
        <w:sectPr>
          <w:footerReference r:id="rId9" w:type="default"/>
          <w:pgSz w:w="11906" w:h="16838"/>
          <w:pgMar w:top="1701" w:right="1531" w:bottom="1701" w:left="1531" w:header="851" w:footer="992" w:gutter="0"/>
          <w:cols w:space="425" w:num="1"/>
          <w:docGrid w:linePitch="312" w:charSpace="0"/>
        </w:sectPr>
      </w:pPr>
    </w:p>
    <w:p>
      <w:pPr>
        <w:pStyle w:val="4"/>
        <w:jc w:val="left"/>
        <w:rPr>
          <w:color w:val="auto"/>
        </w:rPr>
      </w:pPr>
      <w:bookmarkStart w:id="59" w:name="_Toc13451"/>
      <w:bookmarkStart w:id="60" w:name="_Toc9891"/>
      <w:bookmarkStart w:id="61" w:name="_Toc7240"/>
      <w:bookmarkStart w:id="62" w:name="_Toc15284"/>
      <w:r>
        <w:rPr>
          <w:color w:val="auto"/>
        </w:rPr>
        <w:t>附图</w:t>
      </w:r>
      <w:r>
        <w:rPr>
          <w:rFonts w:hint="eastAsia"/>
          <w:color w:val="auto"/>
        </w:rPr>
        <w:t>3 环境保护目标</w:t>
      </w:r>
      <w:r>
        <w:rPr>
          <w:color w:val="auto"/>
        </w:rPr>
        <w:t>图</w:t>
      </w:r>
      <w:bookmarkEnd w:id="59"/>
      <w:bookmarkEnd w:id="60"/>
      <w:bookmarkEnd w:id="61"/>
      <w:bookmarkEnd w:id="62"/>
    </w:p>
    <w:p>
      <w:pPr>
        <w:jc w:val="center"/>
        <w:rPr>
          <w:color w:val="auto"/>
        </w:rPr>
      </w:pPr>
    </w:p>
    <w:p>
      <w:pPr>
        <w:jc w:val="both"/>
        <w:rPr>
          <w:color w:val="auto"/>
        </w:rPr>
        <w:sectPr>
          <w:pgSz w:w="16838" w:h="11906" w:orient="landscape"/>
          <w:pgMar w:top="1531" w:right="1701" w:bottom="1531" w:left="1701" w:header="851" w:footer="992" w:gutter="0"/>
          <w:cols w:space="425" w:num="1"/>
          <w:docGrid w:linePitch="312" w:charSpace="0"/>
        </w:sectPr>
      </w:pPr>
      <w:r>
        <w:rPr>
          <w:color w:val="auto"/>
          <w:sz w:val="21"/>
        </w:rPr>
        <mc:AlternateContent>
          <mc:Choice Requires="wpg">
            <w:drawing>
              <wp:anchor distT="0" distB="0" distL="114300" distR="114300" simplePos="0" relativeHeight="251664384" behindDoc="0" locked="0" layoutInCell="1" allowOverlap="1">
                <wp:simplePos x="0" y="0"/>
                <wp:positionH relativeFrom="column">
                  <wp:posOffset>6643370</wp:posOffset>
                </wp:positionH>
                <wp:positionV relativeFrom="paragraph">
                  <wp:posOffset>3836035</wp:posOffset>
                </wp:positionV>
                <wp:extent cx="1859915" cy="1178560"/>
                <wp:effectExtent l="5080" t="4445" r="20955" b="17145"/>
                <wp:wrapNone/>
                <wp:docPr id="65" name="组合 65"/>
                <wp:cNvGraphicFramePr/>
                <a:graphic xmlns:a="http://schemas.openxmlformats.org/drawingml/2006/main">
                  <a:graphicData uri="http://schemas.microsoft.com/office/word/2010/wordprocessingGroup">
                    <wpg:wgp>
                      <wpg:cNvGrpSpPr/>
                      <wpg:grpSpPr>
                        <a:xfrm>
                          <a:off x="0" y="0"/>
                          <a:ext cx="1859915" cy="1178560"/>
                          <a:chOff x="13508" y="952450"/>
                          <a:chExt cx="2929" cy="1856"/>
                        </a:xfrm>
                      </wpg:grpSpPr>
                      <wps:wsp>
                        <wps:cNvPr id="58" name="文本框 58"/>
                        <wps:cNvSpPr txBox="1"/>
                        <wps:spPr>
                          <a:xfrm>
                            <a:off x="13508" y="952450"/>
                            <a:ext cx="2929" cy="18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图  例</w:t>
                              </w:r>
                            </w:p>
                            <w:p>
                              <w:pPr>
                                <w:spacing w:line="360" w:lineRule="auto"/>
                                <w:ind w:firstLine="360" w:firstLineChars="200"/>
                                <w:jc w:val="left"/>
                                <w:rPr>
                                  <w:sz w:val="18"/>
                                  <w:szCs w:val="18"/>
                                </w:rPr>
                              </w:pPr>
                              <w:r>
                                <w:rPr>
                                  <w:rFonts w:hint="eastAsia"/>
                                  <w:sz w:val="18"/>
                                  <w:szCs w:val="18"/>
                                </w:rPr>
                                <w:t>本项目位置</w:t>
                              </w:r>
                            </w:p>
                            <w:p>
                              <w:pPr>
                                <w:spacing w:line="360" w:lineRule="auto"/>
                                <w:ind w:firstLine="360" w:firstLineChars="200"/>
                                <w:jc w:val="left"/>
                                <w:rPr>
                                  <w:sz w:val="18"/>
                                  <w:szCs w:val="18"/>
                                </w:rPr>
                              </w:pPr>
                              <w:r>
                                <w:rPr>
                                  <w:rFonts w:hint="eastAsia"/>
                                  <w:sz w:val="18"/>
                                  <w:szCs w:val="18"/>
                                </w:rPr>
                                <w:t>声环境</w:t>
                              </w:r>
                              <w:r>
                                <w:rPr>
                                  <w:rFonts w:hint="eastAsia"/>
                                  <w:sz w:val="18"/>
                                  <w:szCs w:val="18"/>
                                  <w:lang w:val="en-US" w:eastAsia="zh-CN"/>
                                </w:rPr>
                                <w:t>评价</w:t>
                              </w:r>
                              <w:r>
                                <w:rPr>
                                  <w:rFonts w:hint="eastAsia"/>
                                  <w:sz w:val="18"/>
                                  <w:szCs w:val="18"/>
                                </w:rPr>
                                <w:t>范围（50m）</w:t>
                              </w:r>
                            </w:p>
                            <w:p>
                              <w:pPr>
                                <w:spacing w:line="360" w:lineRule="auto"/>
                                <w:ind w:firstLine="360" w:firstLineChars="200"/>
                                <w:jc w:val="left"/>
                                <w:rPr>
                                  <w:sz w:val="18"/>
                                  <w:szCs w:val="18"/>
                                </w:rPr>
                              </w:pPr>
                              <w:r>
                                <w:rPr>
                                  <w:rFonts w:hint="eastAsia"/>
                                  <w:sz w:val="18"/>
                                  <w:szCs w:val="18"/>
                                </w:rPr>
                                <w:t>大气</w:t>
                              </w:r>
                              <w:r>
                                <w:rPr>
                                  <w:rFonts w:hint="eastAsia"/>
                                  <w:sz w:val="18"/>
                                  <w:szCs w:val="18"/>
                                  <w:lang w:val="en-US" w:eastAsia="zh-CN"/>
                                </w:rPr>
                                <w:t>环境评价</w:t>
                              </w:r>
                              <w:r>
                                <w:rPr>
                                  <w:rFonts w:hint="eastAsia"/>
                                  <w:sz w:val="18"/>
                                  <w:szCs w:val="18"/>
                                </w:rPr>
                                <w:t>范围（5</w:t>
                              </w:r>
                              <w:r>
                                <w:rPr>
                                  <w:rFonts w:hint="eastAsia"/>
                                  <w:sz w:val="18"/>
                                  <w:szCs w:val="18"/>
                                  <w:lang w:val="en-US" w:eastAsia="zh-CN"/>
                                </w:rPr>
                                <w:t>0</w:t>
                              </w:r>
                              <w:r>
                                <w:rPr>
                                  <w:rFonts w:hint="eastAsia"/>
                                  <w:sz w:val="18"/>
                                  <w:szCs w:val="18"/>
                                </w:rPr>
                                <w:t>0m）</w:t>
                              </w:r>
                            </w:p>
                            <w:p>
                              <w:pPr>
                                <w:spacing w:line="360" w:lineRule="auto"/>
                                <w:ind w:firstLine="360" w:firstLineChars="200"/>
                                <w:jc w:val="left"/>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矩形 60"/>
                        <wps:cNvSpPr/>
                        <wps:spPr>
                          <a:xfrm>
                            <a:off x="13623" y="953166"/>
                            <a:ext cx="287" cy="1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13633" y="952811"/>
                            <a:ext cx="293" cy="159"/>
                          </a:xfrm>
                          <a:prstGeom prst="rect">
                            <a:avLst/>
                          </a:prstGeom>
                          <a:noFill/>
                          <a:ln>
                            <a:solidFill>
                              <a:srgbClr val="0101A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63"/>
                        <wps:cNvSpPr/>
                        <wps:spPr>
                          <a:xfrm>
                            <a:off x="13635" y="953510"/>
                            <a:ext cx="265" cy="148"/>
                          </a:xfrm>
                          <a:prstGeom prst="rect">
                            <a:avLst/>
                          </a:prstGeom>
                          <a:no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23.1pt;margin-top:302.05pt;height:92.8pt;width:146.45pt;z-index:251664384;mso-width-relative:page;mso-height-relative:page;" coordorigin="13508,952450" coordsize="2929,1856" o:gfxdata="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MXZDgvcAAAADQEAAA8A&#10;AAAAAAAAAQAgAAAAIgAAAGRycy9kb3ducmV2LnhtbFBLAQIUABQAAAAIAIdO4kBvPFlLogMAADMO&#10;AAAOAAAAAAAAAAEAIAAAACsBAABkcnMvZTJvRG9jLnhtbFBLBQYAAAAABgAGAFkBAAA/BwAAAAA=&#10;">
                <o:lock v:ext="edit" aspectratio="f"/>
                <v:shape id="_x0000_s1026" o:spid="_x0000_s1026" o:spt="202" type="#_x0000_t202" style="position:absolute;left:13508;top:952450;height:1856;width:2929;" fillcolor="#FFFFFF [3201]" filled="t" stroked="t" coordsize="21600,21600" o:gfxdata="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U6Df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sz w:val="18"/>
                            <w:szCs w:val="18"/>
                          </w:rPr>
                        </w:pPr>
                        <w:r>
                          <w:rPr>
                            <w:rFonts w:hint="eastAsia"/>
                            <w:sz w:val="18"/>
                            <w:szCs w:val="18"/>
                          </w:rPr>
                          <w:t>图  例</w:t>
                        </w:r>
                      </w:p>
                      <w:p>
                        <w:pPr>
                          <w:spacing w:line="360" w:lineRule="auto"/>
                          <w:ind w:firstLine="360" w:firstLineChars="200"/>
                          <w:jc w:val="left"/>
                          <w:rPr>
                            <w:sz w:val="18"/>
                            <w:szCs w:val="18"/>
                          </w:rPr>
                        </w:pPr>
                        <w:r>
                          <w:rPr>
                            <w:rFonts w:hint="eastAsia"/>
                            <w:sz w:val="18"/>
                            <w:szCs w:val="18"/>
                          </w:rPr>
                          <w:t>本项目位置</w:t>
                        </w:r>
                      </w:p>
                      <w:p>
                        <w:pPr>
                          <w:spacing w:line="360" w:lineRule="auto"/>
                          <w:ind w:firstLine="360" w:firstLineChars="200"/>
                          <w:jc w:val="left"/>
                          <w:rPr>
                            <w:sz w:val="18"/>
                            <w:szCs w:val="18"/>
                          </w:rPr>
                        </w:pPr>
                        <w:r>
                          <w:rPr>
                            <w:rFonts w:hint="eastAsia"/>
                            <w:sz w:val="18"/>
                            <w:szCs w:val="18"/>
                          </w:rPr>
                          <w:t>声环境</w:t>
                        </w:r>
                        <w:r>
                          <w:rPr>
                            <w:rFonts w:hint="eastAsia"/>
                            <w:sz w:val="18"/>
                            <w:szCs w:val="18"/>
                            <w:lang w:val="en-US" w:eastAsia="zh-CN"/>
                          </w:rPr>
                          <w:t>评价</w:t>
                        </w:r>
                        <w:r>
                          <w:rPr>
                            <w:rFonts w:hint="eastAsia"/>
                            <w:sz w:val="18"/>
                            <w:szCs w:val="18"/>
                          </w:rPr>
                          <w:t>范围（50m）</w:t>
                        </w:r>
                      </w:p>
                      <w:p>
                        <w:pPr>
                          <w:spacing w:line="360" w:lineRule="auto"/>
                          <w:ind w:firstLine="360" w:firstLineChars="200"/>
                          <w:jc w:val="left"/>
                          <w:rPr>
                            <w:sz w:val="18"/>
                            <w:szCs w:val="18"/>
                          </w:rPr>
                        </w:pPr>
                        <w:r>
                          <w:rPr>
                            <w:rFonts w:hint="eastAsia"/>
                            <w:sz w:val="18"/>
                            <w:szCs w:val="18"/>
                          </w:rPr>
                          <w:t>大气</w:t>
                        </w:r>
                        <w:r>
                          <w:rPr>
                            <w:rFonts w:hint="eastAsia"/>
                            <w:sz w:val="18"/>
                            <w:szCs w:val="18"/>
                            <w:lang w:val="en-US" w:eastAsia="zh-CN"/>
                          </w:rPr>
                          <w:t>环境评价</w:t>
                        </w:r>
                        <w:r>
                          <w:rPr>
                            <w:rFonts w:hint="eastAsia"/>
                            <w:sz w:val="18"/>
                            <w:szCs w:val="18"/>
                          </w:rPr>
                          <w:t>范围（5</w:t>
                        </w:r>
                        <w:r>
                          <w:rPr>
                            <w:rFonts w:hint="eastAsia"/>
                            <w:sz w:val="18"/>
                            <w:szCs w:val="18"/>
                            <w:lang w:val="en-US" w:eastAsia="zh-CN"/>
                          </w:rPr>
                          <w:t>0</w:t>
                        </w:r>
                        <w:r>
                          <w:rPr>
                            <w:rFonts w:hint="eastAsia"/>
                            <w:sz w:val="18"/>
                            <w:szCs w:val="18"/>
                          </w:rPr>
                          <w:t>0m）</w:t>
                        </w:r>
                      </w:p>
                      <w:p>
                        <w:pPr>
                          <w:spacing w:line="360" w:lineRule="auto"/>
                          <w:ind w:firstLine="360" w:firstLineChars="200"/>
                          <w:jc w:val="left"/>
                          <w:rPr>
                            <w:sz w:val="18"/>
                            <w:szCs w:val="18"/>
                          </w:rPr>
                        </w:pPr>
                      </w:p>
                    </w:txbxContent>
                  </v:textbox>
                </v:shape>
                <v:rect id="_x0000_s1026" o:spid="_x0000_s1026" o:spt="1" style="position:absolute;left:13623;top:953166;height:150;width:287;v-text-anchor:middle;" filled="f" stroked="t" coordsize="21600,21600" o:gfxdata="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5YgL4A&#10;AADbAAAADwAAAAAAAAABACAAAAAiAAAAZHJzL2Rvd25yZXYueG1sUEsBAhQAFAAAAAgAh07iQDMv&#10;BZ47AAAAOQAAABAAAAAAAAAAAQAgAAAADQEAAGRycy9zaGFwZXhtbC54bWxQSwUGAAAAAAYABgBb&#10;AQAAtwMAAAAA&#10;">
                  <v:fill on="f" focussize="0,0"/>
                  <v:stroke weight="2pt" color="#FF0000 [2404]" joinstyle="round"/>
                  <v:imagedata o:title=""/>
                  <o:lock v:ext="edit" aspectratio="f"/>
                </v:rect>
                <v:rect id="_x0000_s1026" o:spid="_x0000_s1026" o:spt="1" style="position:absolute;left:13633;top:952811;height:159;width:293;v-text-anchor:middle;" filled="f" stroked="t" coordsize="21600,21600" o:gfxdata="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ar0D7gAAADbAAAA&#10;DwAAAAAAAAABACAAAAAiAAAAZHJzL2Rvd25yZXYueG1sUEsBAhQAFAAAAAgAh07iQDMvBZ47AAAA&#10;OQAAABAAAAAAAAAAAQAgAAAABwEAAGRycy9zaGFwZXhtbC54bWxQSwUGAAAAAAYABgBbAQAAsQMA&#10;AAAA&#10;">
                  <v:fill on="f" focussize="0,0"/>
                  <v:stroke weight="2pt" color="#0101AF [2404]" joinstyle="round"/>
                  <v:imagedata o:title=""/>
                  <o:lock v:ext="edit" aspectratio="f"/>
                </v:rect>
                <v:rect id="_x0000_s1026" o:spid="_x0000_s1026" o:spt="1" style="position:absolute;left:13635;top:953510;height:148;width:265;v-text-anchor:middle;" filled="f" stroked="t" coordsize="21600,21600" o:gfxdata="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vrlugAAANsA&#10;AAAPAAAAAAAAAAEAIAAAACIAAABkcnMvZG93bnJldi54bWxQSwECFAAUAAAACACHTuJAMy8FnjsA&#10;AAA5AAAAEAAAAAAAAAABACAAAAAJAQAAZHJzL3NoYXBleG1sLnhtbFBLBQYAAAAABgAGAFsBAACz&#10;AwAAAAA=&#10;">
                  <v:fill on="f" focussize="0,0"/>
                  <v:stroke weight="2pt" color="#00B0F0 [2404]" joinstyle="round"/>
                  <v:imagedata o:title=""/>
                  <o:lock v:ext="edit" aspectratio="f"/>
                </v:rect>
              </v:group>
            </w:pict>
          </mc:Fallback>
        </mc:AlternateContent>
      </w:r>
      <w:r>
        <w:rPr>
          <w:color w:val="auto"/>
        </w:rPr>
        <w:drawing>
          <wp:inline distT="0" distB="0" distL="114300" distR="114300">
            <wp:extent cx="5515610" cy="4784090"/>
            <wp:effectExtent l="0" t="0" r="8890" b="1651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8"/>
                    <a:stretch>
                      <a:fillRect/>
                    </a:stretch>
                  </pic:blipFill>
                  <pic:spPr>
                    <a:xfrm>
                      <a:off x="0" y="0"/>
                      <a:ext cx="5515610" cy="4784090"/>
                    </a:xfrm>
                    <a:prstGeom prst="rect">
                      <a:avLst/>
                    </a:prstGeom>
                    <a:noFill/>
                    <a:ln>
                      <a:noFill/>
                    </a:ln>
                  </pic:spPr>
                </pic:pic>
              </a:graphicData>
            </a:graphic>
          </wp:inline>
        </w:drawing>
      </w:r>
    </w:p>
    <w:p>
      <w:pPr>
        <w:pStyle w:val="4"/>
        <w:jc w:val="left"/>
        <w:rPr>
          <w:color w:val="auto"/>
        </w:rPr>
      </w:pPr>
      <w:bookmarkStart w:id="63" w:name="_Toc2053"/>
      <w:bookmarkStart w:id="64" w:name="_Toc19303"/>
      <w:bookmarkStart w:id="65" w:name="_Toc2946"/>
      <w:bookmarkStart w:id="66" w:name="_Toc6577"/>
      <w:r>
        <w:rPr>
          <w:color w:val="auto"/>
        </w:rPr>
        <w:t>附件</w:t>
      </w:r>
      <w:r>
        <w:rPr>
          <w:rFonts w:hint="eastAsia"/>
          <w:color w:val="auto"/>
        </w:rPr>
        <w:t xml:space="preserve">1 </w:t>
      </w:r>
      <w:r>
        <w:rPr>
          <w:color w:val="auto"/>
        </w:rPr>
        <w:t>营业执照</w:t>
      </w:r>
      <w:bookmarkEnd w:id="63"/>
      <w:bookmarkEnd w:id="64"/>
      <w:bookmarkEnd w:id="65"/>
      <w:bookmarkEnd w:id="66"/>
    </w:p>
    <w:p>
      <w:pPr>
        <w:jc w:val="center"/>
        <w:rPr>
          <w:rFonts w:eastAsiaTheme="minorEastAsia"/>
          <w:color w:val="auto"/>
        </w:rPr>
      </w:pPr>
    </w:p>
    <w:p>
      <w:pPr>
        <w:pStyle w:val="37"/>
        <w:ind w:left="0" w:leftChars="0" w:firstLine="0" w:firstLineChars="0"/>
        <w:rPr>
          <w:rFonts w:eastAsiaTheme="minorEastAsia"/>
          <w:color w:val="auto"/>
        </w:rPr>
      </w:pPr>
    </w:p>
    <w:p>
      <w:pPr>
        <w:pStyle w:val="37"/>
        <w:ind w:firstLine="480"/>
        <w:rPr>
          <w:rFonts w:eastAsiaTheme="minorEastAsia"/>
          <w:color w:val="auto"/>
        </w:rPr>
        <w:sectPr>
          <w:type w:val="continuous"/>
          <w:pgSz w:w="11906" w:h="16838"/>
          <w:pgMar w:top="1701" w:right="1531" w:bottom="1701" w:left="1531" w:header="851" w:footer="992" w:gutter="0"/>
          <w:cols w:space="425" w:num="1"/>
          <w:docGrid w:linePitch="312" w:charSpace="0"/>
        </w:sectPr>
      </w:pPr>
    </w:p>
    <w:p>
      <w:pPr>
        <w:pStyle w:val="4"/>
        <w:jc w:val="left"/>
        <w:rPr>
          <w:color w:val="auto"/>
        </w:rPr>
      </w:pPr>
      <w:bookmarkStart w:id="67" w:name="_Toc12396"/>
      <w:bookmarkStart w:id="68" w:name="_Toc9634"/>
      <w:bookmarkStart w:id="69" w:name="_Toc9811"/>
      <w:bookmarkStart w:id="70" w:name="_Toc29404"/>
      <w:r>
        <w:rPr>
          <w:color w:val="auto"/>
        </w:rPr>
        <w:t>附件</w:t>
      </w:r>
      <w:r>
        <w:rPr>
          <w:rFonts w:hint="eastAsia"/>
          <w:color w:val="auto"/>
          <w:lang w:val="en-US" w:eastAsia="zh-CN"/>
        </w:rPr>
        <w:t>2</w:t>
      </w:r>
      <w:r>
        <w:rPr>
          <w:rFonts w:hint="eastAsia"/>
          <w:color w:val="auto"/>
        </w:rPr>
        <w:t xml:space="preserve"> 生态环境分区管控分析报告</w:t>
      </w:r>
      <w:bookmarkEnd w:id="67"/>
      <w:bookmarkEnd w:id="68"/>
      <w:bookmarkEnd w:id="69"/>
      <w:bookmarkEnd w:id="70"/>
    </w:p>
    <w:p>
      <w:pPr>
        <w:pStyle w:val="57"/>
        <w:ind w:firstLine="0" w:firstLineChars="0"/>
        <w:jc w:val="center"/>
        <w:rPr>
          <w:color w:val="auto"/>
        </w:rPr>
      </w:pPr>
      <w:r>
        <w:rPr>
          <w:color w:val="auto"/>
        </w:rPr>
        <w:drawing>
          <wp:inline distT="0" distB="0" distL="114300" distR="114300">
            <wp:extent cx="5608320" cy="3851910"/>
            <wp:effectExtent l="0" t="0" r="11430" b="152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9"/>
                    <a:stretch>
                      <a:fillRect/>
                    </a:stretch>
                  </pic:blipFill>
                  <pic:spPr>
                    <a:xfrm>
                      <a:off x="0" y="0"/>
                      <a:ext cx="5608320" cy="3851910"/>
                    </a:xfrm>
                    <a:prstGeom prst="rect">
                      <a:avLst/>
                    </a:prstGeom>
                    <a:noFill/>
                    <a:ln>
                      <a:noFill/>
                    </a:ln>
                  </pic:spPr>
                </pic:pic>
              </a:graphicData>
            </a:graphic>
          </wp:inline>
        </w:drawing>
      </w:r>
      <w:r>
        <w:rPr>
          <w:color w:val="auto"/>
        </w:rPr>
        <w:drawing>
          <wp:inline distT="0" distB="0" distL="114300" distR="114300">
            <wp:extent cx="5614035" cy="2882900"/>
            <wp:effectExtent l="0" t="0" r="5715" b="1270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0"/>
                    <a:stretch>
                      <a:fillRect/>
                    </a:stretch>
                  </pic:blipFill>
                  <pic:spPr>
                    <a:xfrm>
                      <a:off x="0" y="0"/>
                      <a:ext cx="5614035" cy="2882900"/>
                    </a:xfrm>
                    <a:prstGeom prst="rect">
                      <a:avLst/>
                    </a:prstGeom>
                    <a:noFill/>
                    <a:ln>
                      <a:noFill/>
                    </a:ln>
                  </pic:spPr>
                </pic:pic>
              </a:graphicData>
            </a:graphic>
          </wp:inline>
        </w:drawing>
      </w:r>
      <w:r>
        <w:rPr>
          <w:color w:val="auto"/>
        </w:rPr>
        <w:drawing>
          <wp:inline distT="0" distB="0" distL="114300" distR="114300">
            <wp:extent cx="5610225" cy="3538855"/>
            <wp:effectExtent l="0" t="0" r="9525" b="444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1"/>
                    <a:stretch>
                      <a:fillRect/>
                    </a:stretch>
                  </pic:blipFill>
                  <pic:spPr>
                    <a:xfrm>
                      <a:off x="0" y="0"/>
                      <a:ext cx="5610225" cy="3538855"/>
                    </a:xfrm>
                    <a:prstGeom prst="rect">
                      <a:avLst/>
                    </a:prstGeom>
                    <a:noFill/>
                    <a:ln>
                      <a:noFill/>
                    </a:ln>
                  </pic:spPr>
                </pic:pic>
              </a:graphicData>
            </a:graphic>
          </wp:inline>
        </w:drawing>
      </w:r>
      <w:r>
        <w:rPr>
          <w:color w:val="auto"/>
        </w:rPr>
        <w:drawing>
          <wp:inline distT="0" distB="0" distL="114300" distR="114300">
            <wp:extent cx="5612130" cy="3745230"/>
            <wp:effectExtent l="0" t="0" r="7620" b="762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2"/>
                    <a:stretch>
                      <a:fillRect/>
                    </a:stretch>
                  </pic:blipFill>
                  <pic:spPr>
                    <a:xfrm>
                      <a:off x="0" y="0"/>
                      <a:ext cx="5612130" cy="3745230"/>
                    </a:xfrm>
                    <a:prstGeom prst="rect">
                      <a:avLst/>
                    </a:prstGeom>
                    <a:noFill/>
                    <a:ln>
                      <a:noFill/>
                    </a:ln>
                  </pic:spPr>
                </pic:pic>
              </a:graphicData>
            </a:graphic>
          </wp:inline>
        </w:drawing>
      </w:r>
      <w:r>
        <w:rPr>
          <w:color w:val="auto"/>
        </w:rPr>
        <w:drawing>
          <wp:inline distT="0" distB="0" distL="114300" distR="114300">
            <wp:extent cx="5615305" cy="3778250"/>
            <wp:effectExtent l="0" t="0" r="4445" b="1270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3"/>
                    <a:stretch>
                      <a:fillRect/>
                    </a:stretch>
                  </pic:blipFill>
                  <pic:spPr>
                    <a:xfrm>
                      <a:off x="0" y="0"/>
                      <a:ext cx="5615305" cy="3778250"/>
                    </a:xfrm>
                    <a:prstGeom prst="rect">
                      <a:avLst/>
                    </a:prstGeom>
                    <a:noFill/>
                    <a:ln>
                      <a:noFill/>
                    </a:ln>
                  </pic:spPr>
                </pic:pic>
              </a:graphicData>
            </a:graphic>
          </wp:inline>
        </w:drawing>
      </w:r>
      <w:r>
        <w:rPr>
          <w:color w:val="auto"/>
        </w:rPr>
        <w:drawing>
          <wp:inline distT="0" distB="0" distL="114300" distR="114300">
            <wp:extent cx="5607685" cy="3742690"/>
            <wp:effectExtent l="0" t="0" r="12065" b="1016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4"/>
                    <a:stretch>
                      <a:fillRect/>
                    </a:stretch>
                  </pic:blipFill>
                  <pic:spPr>
                    <a:xfrm>
                      <a:off x="0" y="0"/>
                      <a:ext cx="5607685" cy="3742690"/>
                    </a:xfrm>
                    <a:prstGeom prst="rect">
                      <a:avLst/>
                    </a:prstGeom>
                    <a:noFill/>
                    <a:ln>
                      <a:noFill/>
                    </a:ln>
                  </pic:spPr>
                </pic:pic>
              </a:graphicData>
            </a:graphic>
          </wp:inline>
        </w:drawing>
      </w:r>
      <w:r>
        <w:rPr>
          <w:color w:val="auto"/>
        </w:rPr>
        <w:drawing>
          <wp:inline distT="0" distB="0" distL="114300" distR="114300">
            <wp:extent cx="5614035" cy="3927475"/>
            <wp:effectExtent l="0" t="0" r="5715" b="1587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5"/>
                    <a:stretch>
                      <a:fillRect/>
                    </a:stretch>
                  </pic:blipFill>
                  <pic:spPr>
                    <a:xfrm>
                      <a:off x="0" y="0"/>
                      <a:ext cx="5614035" cy="3927475"/>
                    </a:xfrm>
                    <a:prstGeom prst="rect">
                      <a:avLst/>
                    </a:prstGeom>
                    <a:noFill/>
                    <a:ln>
                      <a:noFill/>
                    </a:ln>
                  </pic:spPr>
                </pic:pic>
              </a:graphicData>
            </a:graphic>
          </wp:inline>
        </w:drawing>
      </w:r>
      <w:r>
        <w:rPr>
          <w:color w:val="auto"/>
        </w:rPr>
        <w:drawing>
          <wp:inline distT="0" distB="0" distL="114300" distR="114300">
            <wp:extent cx="5607685" cy="3717290"/>
            <wp:effectExtent l="0" t="0" r="12065" b="165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6"/>
                    <a:stretch>
                      <a:fillRect/>
                    </a:stretch>
                  </pic:blipFill>
                  <pic:spPr>
                    <a:xfrm>
                      <a:off x="0" y="0"/>
                      <a:ext cx="5607685" cy="3717290"/>
                    </a:xfrm>
                    <a:prstGeom prst="rect">
                      <a:avLst/>
                    </a:prstGeom>
                    <a:noFill/>
                    <a:ln>
                      <a:noFill/>
                    </a:ln>
                  </pic:spPr>
                </pic:pic>
              </a:graphicData>
            </a:graphic>
          </wp:inline>
        </w:drawing>
      </w:r>
      <w:r>
        <w:rPr>
          <w:color w:val="auto"/>
        </w:rPr>
        <w:drawing>
          <wp:inline distT="0" distB="0" distL="114300" distR="114300">
            <wp:extent cx="5609590" cy="3564255"/>
            <wp:effectExtent l="0" t="0" r="10160" b="1714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37"/>
                    <a:stretch>
                      <a:fillRect/>
                    </a:stretch>
                  </pic:blipFill>
                  <pic:spPr>
                    <a:xfrm>
                      <a:off x="0" y="0"/>
                      <a:ext cx="5609590" cy="3564255"/>
                    </a:xfrm>
                    <a:prstGeom prst="rect">
                      <a:avLst/>
                    </a:prstGeom>
                    <a:noFill/>
                    <a:ln>
                      <a:noFill/>
                    </a:ln>
                  </pic:spPr>
                </pic:pic>
              </a:graphicData>
            </a:graphic>
          </wp:inline>
        </w:drawing>
      </w:r>
      <w:r>
        <w:rPr>
          <w:color w:val="auto"/>
        </w:rPr>
        <w:drawing>
          <wp:inline distT="0" distB="0" distL="114300" distR="114300">
            <wp:extent cx="5614670" cy="3863340"/>
            <wp:effectExtent l="0" t="0" r="5080" b="381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8"/>
                    <a:stretch>
                      <a:fillRect/>
                    </a:stretch>
                  </pic:blipFill>
                  <pic:spPr>
                    <a:xfrm>
                      <a:off x="0" y="0"/>
                      <a:ext cx="5614670" cy="3863340"/>
                    </a:xfrm>
                    <a:prstGeom prst="rect">
                      <a:avLst/>
                    </a:prstGeom>
                    <a:noFill/>
                    <a:ln>
                      <a:noFill/>
                    </a:ln>
                  </pic:spPr>
                </pic:pic>
              </a:graphicData>
            </a:graphic>
          </wp:inline>
        </w:drawing>
      </w:r>
    </w:p>
    <w:p>
      <w:pPr>
        <w:pStyle w:val="57"/>
        <w:ind w:firstLine="0" w:firstLineChars="0"/>
        <w:jc w:val="center"/>
        <w:rPr>
          <w:color w:val="auto"/>
        </w:rPr>
      </w:pPr>
    </w:p>
    <w:p>
      <w:pPr>
        <w:pStyle w:val="57"/>
        <w:ind w:firstLine="0" w:firstLineChars="0"/>
        <w:jc w:val="center"/>
        <w:rPr>
          <w:color w:val="auto"/>
        </w:rPr>
      </w:pPr>
    </w:p>
    <w:p>
      <w:pPr>
        <w:pStyle w:val="57"/>
        <w:ind w:firstLine="0" w:firstLineChars="0"/>
        <w:jc w:val="center"/>
        <w:rPr>
          <w:color w:val="auto"/>
        </w:rPr>
        <w:sectPr>
          <w:pgSz w:w="11906" w:h="16838"/>
          <w:pgMar w:top="1701" w:right="1531" w:bottom="1701" w:left="1531" w:header="851" w:footer="992" w:gutter="0"/>
          <w:cols w:space="425" w:num="1"/>
          <w:docGrid w:linePitch="312" w:charSpace="0"/>
        </w:sectPr>
      </w:pPr>
    </w:p>
    <w:p>
      <w:pPr>
        <w:pStyle w:val="4"/>
        <w:jc w:val="left"/>
        <w:rPr>
          <w:color w:val="auto"/>
        </w:rPr>
      </w:pPr>
      <w:bookmarkStart w:id="71" w:name="_Toc5221"/>
      <w:bookmarkStart w:id="72" w:name="_Toc26842"/>
      <w:bookmarkStart w:id="73" w:name="_Toc4643"/>
      <w:bookmarkStart w:id="74" w:name="_Toc16707"/>
      <w:r>
        <w:rPr>
          <w:color w:val="auto"/>
        </w:rPr>
        <w:t>附件</w:t>
      </w:r>
      <w:r>
        <w:rPr>
          <w:rFonts w:hint="eastAsia"/>
          <w:color w:val="auto"/>
          <w:lang w:val="en-US" w:eastAsia="zh-CN"/>
        </w:rPr>
        <w:t>3</w:t>
      </w:r>
      <w:r>
        <w:rPr>
          <w:rFonts w:hint="eastAsia"/>
          <w:color w:val="auto"/>
        </w:rPr>
        <w:t xml:space="preserve"> </w:t>
      </w:r>
      <w:r>
        <w:rPr>
          <w:color w:val="auto"/>
        </w:rPr>
        <w:t>检测报告</w:t>
      </w:r>
      <w:bookmarkEnd w:id="71"/>
      <w:bookmarkEnd w:id="72"/>
      <w:bookmarkEnd w:id="73"/>
      <w:bookmarkEnd w:id="74"/>
    </w:p>
    <w:p>
      <w:pPr>
        <w:pStyle w:val="57"/>
        <w:ind w:firstLine="0" w:firstLineChars="0"/>
        <w:jc w:val="center"/>
        <w:rPr>
          <w:color w:val="auto"/>
        </w:rPr>
      </w:pPr>
      <w:bookmarkStart w:id="79" w:name="_GoBack"/>
      <w:bookmarkEnd w:id="79"/>
      <w:r>
        <w:rPr>
          <w:color w:val="auto"/>
        </w:rPr>
        <w:drawing>
          <wp:inline distT="0" distB="0" distL="114300" distR="114300">
            <wp:extent cx="4981575" cy="6610350"/>
            <wp:effectExtent l="0" t="0" r="9525" b="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39"/>
                    <a:stretch>
                      <a:fillRect/>
                    </a:stretch>
                  </pic:blipFill>
                  <pic:spPr>
                    <a:xfrm>
                      <a:off x="0" y="0"/>
                      <a:ext cx="4981575" cy="6610350"/>
                    </a:xfrm>
                    <a:prstGeom prst="rect">
                      <a:avLst/>
                    </a:prstGeom>
                    <a:noFill/>
                    <a:ln>
                      <a:noFill/>
                    </a:ln>
                  </pic:spPr>
                </pic:pic>
              </a:graphicData>
            </a:graphic>
          </wp:inline>
        </w:drawing>
      </w:r>
      <w:r>
        <w:rPr>
          <w:color w:val="auto"/>
        </w:rPr>
        <w:drawing>
          <wp:inline distT="0" distB="0" distL="114300" distR="114300">
            <wp:extent cx="4810125" cy="6867525"/>
            <wp:effectExtent l="0" t="0" r="9525" b="952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40"/>
                    <a:stretch>
                      <a:fillRect/>
                    </a:stretch>
                  </pic:blipFill>
                  <pic:spPr>
                    <a:xfrm>
                      <a:off x="0" y="0"/>
                      <a:ext cx="4810125" cy="6867525"/>
                    </a:xfrm>
                    <a:prstGeom prst="rect">
                      <a:avLst/>
                    </a:prstGeom>
                    <a:noFill/>
                    <a:ln>
                      <a:noFill/>
                    </a:ln>
                  </pic:spPr>
                </pic:pic>
              </a:graphicData>
            </a:graphic>
          </wp:inline>
        </w:drawing>
      </w:r>
      <w:r>
        <w:rPr>
          <w:color w:val="auto"/>
        </w:rPr>
        <w:drawing>
          <wp:inline distT="0" distB="0" distL="114300" distR="114300">
            <wp:extent cx="4953000" cy="6905625"/>
            <wp:effectExtent l="0" t="0" r="0" b="9525"/>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41"/>
                    <a:stretch>
                      <a:fillRect/>
                    </a:stretch>
                  </pic:blipFill>
                  <pic:spPr>
                    <a:xfrm>
                      <a:off x="0" y="0"/>
                      <a:ext cx="4953000" cy="6905625"/>
                    </a:xfrm>
                    <a:prstGeom prst="rect">
                      <a:avLst/>
                    </a:prstGeom>
                    <a:noFill/>
                    <a:ln>
                      <a:noFill/>
                    </a:ln>
                  </pic:spPr>
                </pic:pic>
              </a:graphicData>
            </a:graphic>
          </wp:inline>
        </w:drawing>
      </w:r>
    </w:p>
    <w:p>
      <w:pPr>
        <w:bidi w:val="0"/>
        <w:rPr>
          <w:color w:val="auto"/>
        </w:rPr>
      </w:pPr>
    </w:p>
    <w:p>
      <w:pPr>
        <w:bidi w:val="0"/>
        <w:rPr>
          <w:color w:val="auto"/>
        </w:rPr>
      </w:pPr>
    </w:p>
    <w:p>
      <w:pPr>
        <w:bidi w:val="0"/>
        <w:rPr>
          <w:color w:val="auto"/>
        </w:rPr>
      </w:pPr>
    </w:p>
    <w:p>
      <w:pPr>
        <w:bidi w:val="0"/>
        <w:rPr>
          <w:color w:val="auto"/>
        </w:rPr>
      </w:pPr>
    </w:p>
    <w:p>
      <w:pPr>
        <w:tabs>
          <w:tab w:val="left" w:pos="2837"/>
        </w:tabs>
        <w:bidi w:val="0"/>
        <w:jc w:val="left"/>
        <w:rPr>
          <w:rFonts w:hint="eastAsia" w:eastAsia="宋体"/>
          <w:color w:val="auto"/>
          <w:lang w:eastAsia="zh-CN"/>
        </w:rPr>
        <w:sectPr>
          <w:pgSz w:w="11906" w:h="16838"/>
          <w:pgMar w:top="1701" w:right="1531" w:bottom="1701" w:left="1531" w:header="851" w:footer="992" w:gutter="0"/>
          <w:cols w:space="425" w:num="1"/>
          <w:docGrid w:linePitch="312" w:charSpace="0"/>
        </w:sectPr>
      </w:pPr>
    </w:p>
    <w:p>
      <w:pPr>
        <w:pStyle w:val="4"/>
        <w:jc w:val="left"/>
        <w:rPr>
          <w:color w:val="auto"/>
        </w:rPr>
      </w:pPr>
      <w:bookmarkStart w:id="75" w:name="_Toc18766"/>
      <w:bookmarkStart w:id="76" w:name="_Toc29832"/>
      <w:bookmarkStart w:id="77" w:name="_Toc15505"/>
      <w:bookmarkStart w:id="78" w:name="_Toc5167"/>
      <w:r>
        <w:rPr>
          <w:color w:val="auto"/>
        </w:rPr>
        <w:t>附件</w:t>
      </w:r>
      <w:r>
        <w:rPr>
          <w:rFonts w:hint="eastAsia"/>
          <w:color w:val="auto"/>
          <w:lang w:val="en-US" w:eastAsia="zh-CN"/>
        </w:rPr>
        <w:t>4</w:t>
      </w:r>
      <w:r>
        <w:rPr>
          <w:rFonts w:hint="eastAsia"/>
          <w:color w:val="auto"/>
        </w:rPr>
        <w:t xml:space="preserve"> 核定总量计算说明</w:t>
      </w:r>
      <w:bookmarkEnd w:id="75"/>
      <w:bookmarkEnd w:id="76"/>
      <w:bookmarkEnd w:id="77"/>
      <w:bookmarkEnd w:id="78"/>
    </w:p>
    <w:p>
      <w:pPr>
        <w:spacing w:line="360" w:lineRule="auto"/>
        <w:ind w:firstLine="480" w:firstLineChars="200"/>
        <w:rPr>
          <w:bCs/>
          <w:color w:val="auto"/>
        </w:rPr>
      </w:pPr>
      <w:r>
        <w:rPr>
          <w:bCs/>
          <w:color w:val="auto"/>
        </w:rPr>
        <w:t>本项目污染物核定排放量通过</w:t>
      </w:r>
      <w:r>
        <w:rPr>
          <w:rFonts w:hint="eastAsia"/>
          <w:bCs/>
          <w:color w:val="auto"/>
          <w:lang w:eastAsia="zh-CN"/>
        </w:rPr>
        <w:t>伊春市</w:t>
      </w:r>
      <w:r>
        <w:rPr>
          <w:bCs/>
          <w:color w:val="auto"/>
        </w:rPr>
        <w:t>区域削减总量平衡解决，按照后续</w:t>
      </w:r>
      <w:r>
        <w:rPr>
          <w:rFonts w:hint="eastAsia"/>
          <w:bCs/>
          <w:color w:val="auto"/>
          <w:lang w:eastAsia="zh-CN"/>
        </w:rPr>
        <w:t>伊春市</w:t>
      </w:r>
      <w:r>
        <w:rPr>
          <w:bCs/>
          <w:color w:val="auto"/>
        </w:rPr>
        <w:t>总量管理政策执行</w:t>
      </w:r>
      <w:r>
        <w:rPr>
          <w:rFonts w:hint="eastAsia"/>
          <w:bCs/>
          <w:color w:val="auto"/>
        </w:rPr>
        <w:t>。</w:t>
      </w:r>
    </w:p>
    <w:p>
      <w:pPr>
        <w:numPr>
          <w:ilvl w:val="0"/>
          <w:numId w:val="14"/>
        </w:numPr>
        <w:spacing w:line="360" w:lineRule="auto"/>
        <w:rPr>
          <w:color w:val="auto"/>
        </w:rPr>
      </w:pPr>
      <w:r>
        <w:rPr>
          <w:rFonts w:hint="eastAsia"/>
          <w:color w:val="auto"/>
        </w:rPr>
        <w:t>废气</w:t>
      </w:r>
    </w:p>
    <w:p>
      <w:pPr>
        <w:pStyle w:val="37"/>
        <w:numPr>
          <w:ilvl w:val="0"/>
          <w:numId w:val="0"/>
        </w:numPr>
        <w:spacing w:line="360" w:lineRule="auto"/>
        <w:ind w:firstLine="480" w:firstLineChars="200"/>
        <w:rPr>
          <w:color w:val="auto"/>
        </w:rPr>
      </w:pPr>
      <w:r>
        <w:rPr>
          <w:rFonts w:hint="eastAsia" w:cs="Times New Roman"/>
          <w:color w:val="auto"/>
          <w:kern w:val="2"/>
          <w:sz w:val="24"/>
          <w:szCs w:val="21"/>
          <w:lang w:val="en-US" w:eastAsia="zh-CN" w:bidi="ar-SA"/>
        </w:rPr>
        <w:t>1.</w:t>
      </w:r>
      <w:r>
        <w:rPr>
          <w:rFonts w:hint="eastAsia"/>
          <w:color w:val="auto"/>
        </w:rPr>
        <w:t>导热油炉烟气</w:t>
      </w:r>
    </w:p>
    <w:p>
      <w:pPr>
        <w:adjustRightInd w:val="0"/>
        <w:snapToGrid w:val="0"/>
        <w:spacing w:line="360" w:lineRule="auto"/>
        <w:ind w:firstLine="480" w:firstLineChars="200"/>
        <w:rPr>
          <w:color w:val="auto"/>
        </w:rPr>
      </w:pPr>
      <w:r>
        <w:rPr>
          <w:rFonts w:hint="eastAsia"/>
          <w:color w:val="auto"/>
        </w:rPr>
        <w:t>本项目设置一台</w:t>
      </w:r>
      <w:r>
        <w:rPr>
          <w:rFonts w:hint="eastAsia"/>
          <w:color w:val="auto"/>
          <w:lang w:val="en-US" w:eastAsia="zh-CN"/>
        </w:rPr>
        <w:t>1.5</w:t>
      </w:r>
      <w:r>
        <w:rPr>
          <w:rFonts w:hint="eastAsia"/>
          <w:color w:val="auto"/>
        </w:rPr>
        <w:t>MW的导热油炉，导热油炉年消耗</w:t>
      </w:r>
      <w:r>
        <w:rPr>
          <w:rFonts w:hint="eastAsia" w:cs="Times New Roman"/>
          <w:color w:val="auto"/>
          <w:lang w:val="en-US" w:eastAsia="zh-CN"/>
        </w:rPr>
        <w:t>222.72t柴油</w:t>
      </w:r>
      <w:r>
        <w:rPr>
          <w:rFonts w:hint="eastAsia"/>
          <w:color w:val="auto"/>
        </w:rPr>
        <w:t>，根据《排放源统计调查产排污核算方法和系数手册》行业系数手册中工业锅炉（热力工业）产污系数表燃</w:t>
      </w:r>
      <w:r>
        <w:rPr>
          <w:rFonts w:hint="eastAsia"/>
          <w:color w:val="auto"/>
          <w:lang w:val="en-US" w:eastAsia="zh-CN"/>
        </w:rPr>
        <w:t>油</w:t>
      </w:r>
      <w:r>
        <w:rPr>
          <w:rFonts w:hint="eastAsia"/>
          <w:color w:val="auto"/>
        </w:rPr>
        <w:t>工业锅炉中工业废气产污系数为</w:t>
      </w:r>
      <w:r>
        <w:rPr>
          <w:rFonts w:hint="eastAsia"/>
          <w:color w:val="auto"/>
          <w:lang w:val="en-US" w:eastAsia="zh-CN"/>
        </w:rPr>
        <w:t>17804</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吨</w:t>
      </w:r>
      <w:r>
        <w:rPr>
          <w:rFonts w:hint="eastAsia"/>
          <w:color w:val="auto"/>
        </w:rPr>
        <w:t>-原料，项目</w:t>
      </w:r>
      <w:r>
        <w:rPr>
          <w:rFonts w:hint="eastAsia"/>
          <w:color w:val="auto"/>
          <w:lang w:val="en-US" w:eastAsia="zh-CN"/>
        </w:rPr>
        <w:t>导热油炉</w:t>
      </w:r>
      <w:r>
        <w:rPr>
          <w:rFonts w:hint="eastAsia"/>
          <w:color w:val="auto"/>
        </w:rPr>
        <w:t>产生废气</w:t>
      </w:r>
      <w:r>
        <w:rPr>
          <w:rFonts w:hint="eastAsia"/>
          <w:color w:val="auto"/>
          <w:lang w:val="en-US" w:eastAsia="zh-CN"/>
        </w:rPr>
        <w:t>3965306.88</w:t>
      </w:r>
      <w:r>
        <w:rPr>
          <w:rFonts w:hint="eastAsia"/>
          <w:color w:val="auto"/>
        </w:rPr>
        <w:t>m</w:t>
      </w:r>
      <w:r>
        <w:rPr>
          <w:rFonts w:hint="eastAsia"/>
          <w:color w:val="auto"/>
          <w:vertAlign w:val="superscript"/>
        </w:rPr>
        <w:t>3</w:t>
      </w:r>
      <w:r>
        <w:rPr>
          <w:rFonts w:hint="eastAsia"/>
          <w:color w:val="auto"/>
        </w:rPr>
        <w:t>/a</w:t>
      </w:r>
    </w:p>
    <w:p>
      <w:pPr>
        <w:spacing w:line="360" w:lineRule="auto"/>
        <w:ind w:firstLine="480" w:firstLineChars="200"/>
        <w:rPr>
          <w:color w:val="auto"/>
        </w:rPr>
      </w:pPr>
      <w:r>
        <w:rPr>
          <w:color w:val="auto"/>
        </w:rPr>
        <w:t>颗粒物排放量=</w:t>
      </w:r>
      <w:r>
        <w:rPr>
          <w:rFonts w:hint="eastAsia"/>
          <w:color w:val="auto"/>
          <w:lang w:val="en-US" w:eastAsia="zh-CN"/>
        </w:rPr>
        <w:t>3965306.88</w:t>
      </w:r>
      <w:r>
        <w:rPr>
          <w:color w:val="auto"/>
        </w:rPr>
        <w:t>m</w:t>
      </w:r>
      <w:r>
        <w:rPr>
          <w:color w:val="auto"/>
          <w:vertAlign w:val="superscript"/>
        </w:rPr>
        <w:t>3</w:t>
      </w:r>
      <w:r>
        <w:rPr>
          <w:color w:val="auto"/>
        </w:rPr>
        <w:t>/a×</w:t>
      </w:r>
      <w:r>
        <w:rPr>
          <w:rFonts w:hint="eastAsia"/>
          <w:color w:val="auto"/>
          <w:lang w:val="en-US" w:eastAsia="zh-CN"/>
        </w:rPr>
        <w:t>3</w:t>
      </w:r>
      <w:r>
        <w:rPr>
          <w:color w:val="auto"/>
        </w:rPr>
        <w:t>0mg/m</w:t>
      </w:r>
      <w:r>
        <w:rPr>
          <w:color w:val="auto"/>
          <w:vertAlign w:val="superscript"/>
        </w:rPr>
        <w:t>3</w:t>
      </w:r>
      <w:r>
        <w:rPr>
          <w:color w:val="auto"/>
        </w:rPr>
        <w:t>×10</w:t>
      </w:r>
      <w:r>
        <w:rPr>
          <w:color w:val="auto"/>
          <w:vertAlign w:val="superscript"/>
        </w:rPr>
        <w:t>-9</w:t>
      </w:r>
      <w:r>
        <w:rPr>
          <w:color w:val="auto"/>
        </w:rPr>
        <w:t>=</w:t>
      </w:r>
      <w:r>
        <w:rPr>
          <w:rFonts w:hint="eastAsia"/>
          <w:color w:val="auto"/>
          <w:lang w:val="en-US" w:eastAsia="zh-CN"/>
        </w:rPr>
        <w:t>0.119</w:t>
      </w:r>
      <w:r>
        <w:rPr>
          <w:color w:val="auto"/>
        </w:rPr>
        <w:t>t/a</w:t>
      </w:r>
    </w:p>
    <w:p>
      <w:pPr>
        <w:spacing w:line="360" w:lineRule="auto"/>
        <w:ind w:firstLine="480" w:firstLineChars="200"/>
        <w:rPr>
          <w:color w:val="auto"/>
        </w:rPr>
      </w:pPr>
      <w:r>
        <w:rPr>
          <w:color w:val="auto"/>
        </w:rPr>
        <w:t>二氧化硫排放量=</w:t>
      </w:r>
      <w:r>
        <w:rPr>
          <w:rFonts w:hint="eastAsia"/>
          <w:color w:val="auto"/>
          <w:lang w:val="en-US" w:eastAsia="zh-CN"/>
        </w:rPr>
        <w:t>3965306.88</w:t>
      </w:r>
      <w:r>
        <w:rPr>
          <w:color w:val="auto"/>
        </w:rPr>
        <w:t>m</w:t>
      </w:r>
      <w:r>
        <w:rPr>
          <w:color w:val="auto"/>
          <w:vertAlign w:val="superscript"/>
        </w:rPr>
        <w:t>3</w:t>
      </w:r>
      <w:r>
        <w:rPr>
          <w:color w:val="auto"/>
        </w:rPr>
        <w:t>/a×</w:t>
      </w:r>
      <w:r>
        <w:rPr>
          <w:rFonts w:hint="eastAsia"/>
          <w:color w:val="auto"/>
          <w:lang w:val="en-US" w:eastAsia="zh-CN"/>
        </w:rPr>
        <w:t>20</w:t>
      </w:r>
      <w:r>
        <w:rPr>
          <w:color w:val="auto"/>
        </w:rPr>
        <w:t>0mg/m</w:t>
      </w:r>
      <w:r>
        <w:rPr>
          <w:color w:val="auto"/>
          <w:vertAlign w:val="superscript"/>
        </w:rPr>
        <w:t>3</w:t>
      </w:r>
      <w:r>
        <w:rPr>
          <w:color w:val="auto"/>
        </w:rPr>
        <w:t>×10</w:t>
      </w:r>
      <w:r>
        <w:rPr>
          <w:color w:val="auto"/>
          <w:vertAlign w:val="superscript"/>
        </w:rPr>
        <w:t>-9</w:t>
      </w:r>
      <w:r>
        <w:rPr>
          <w:color w:val="auto"/>
        </w:rPr>
        <w:t>=</w:t>
      </w:r>
      <w:r>
        <w:rPr>
          <w:rFonts w:hint="eastAsia"/>
          <w:color w:val="auto"/>
          <w:lang w:val="en-US" w:eastAsia="zh-CN"/>
        </w:rPr>
        <w:t>0.793</w:t>
      </w:r>
      <w:r>
        <w:rPr>
          <w:color w:val="auto"/>
        </w:rPr>
        <w:t>t/a</w:t>
      </w:r>
    </w:p>
    <w:p>
      <w:pPr>
        <w:spacing w:line="360" w:lineRule="auto"/>
        <w:ind w:firstLine="480" w:firstLineChars="200"/>
        <w:rPr>
          <w:color w:val="auto"/>
        </w:rPr>
      </w:pPr>
      <w:r>
        <w:rPr>
          <w:color w:val="auto"/>
        </w:rPr>
        <w:t>氮氧化物排放量=</w:t>
      </w:r>
      <w:r>
        <w:rPr>
          <w:rFonts w:hint="eastAsia"/>
          <w:color w:val="auto"/>
          <w:lang w:val="en-US" w:eastAsia="zh-CN"/>
        </w:rPr>
        <w:t>3965306.88</w:t>
      </w:r>
      <w:r>
        <w:rPr>
          <w:color w:val="auto"/>
        </w:rPr>
        <w:t>m</w:t>
      </w:r>
      <w:r>
        <w:rPr>
          <w:color w:val="auto"/>
          <w:vertAlign w:val="superscript"/>
        </w:rPr>
        <w:t>3</w:t>
      </w:r>
      <w:r>
        <w:rPr>
          <w:color w:val="auto"/>
        </w:rPr>
        <w:t>/a×2</w:t>
      </w:r>
      <w:r>
        <w:rPr>
          <w:rFonts w:hint="eastAsia"/>
          <w:color w:val="auto"/>
          <w:lang w:val="en-US" w:eastAsia="zh-CN"/>
        </w:rPr>
        <w:t>5</w:t>
      </w:r>
      <w:r>
        <w:rPr>
          <w:color w:val="auto"/>
        </w:rPr>
        <w:t>0mg/m</w:t>
      </w:r>
      <w:r>
        <w:rPr>
          <w:color w:val="auto"/>
          <w:vertAlign w:val="superscript"/>
        </w:rPr>
        <w:t>3</w:t>
      </w:r>
      <w:r>
        <w:rPr>
          <w:color w:val="auto"/>
        </w:rPr>
        <w:t>×10</w:t>
      </w:r>
      <w:r>
        <w:rPr>
          <w:color w:val="auto"/>
          <w:vertAlign w:val="superscript"/>
        </w:rPr>
        <w:t>-9</w:t>
      </w:r>
      <w:r>
        <w:rPr>
          <w:color w:val="auto"/>
        </w:rPr>
        <w:t>=</w:t>
      </w:r>
      <w:r>
        <w:rPr>
          <w:rFonts w:hint="eastAsia"/>
          <w:color w:val="auto"/>
          <w:lang w:val="en-US" w:eastAsia="zh-CN"/>
        </w:rPr>
        <w:t>0.991</w:t>
      </w:r>
      <w:r>
        <w:rPr>
          <w:color w:val="auto"/>
        </w:rPr>
        <w:t>t/a</w:t>
      </w:r>
    </w:p>
    <w:p>
      <w:pPr>
        <w:spacing w:line="360" w:lineRule="auto"/>
        <w:ind w:firstLine="480" w:firstLineChars="200"/>
        <w:rPr>
          <w:color w:val="auto"/>
        </w:rPr>
      </w:pPr>
      <w:r>
        <w:rPr>
          <w:rFonts w:hint="eastAsia"/>
          <w:color w:val="auto"/>
          <w:lang w:eastAsia="zh-CN"/>
        </w:rPr>
        <w:t>2.</w:t>
      </w:r>
      <w:r>
        <w:rPr>
          <w:color w:val="auto"/>
        </w:rPr>
        <w:t>骨料烘干</w:t>
      </w:r>
      <w:r>
        <w:rPr>
          <w:rFonts w:hint="eastAsia"/>
          <w:color w:val="auto"/>
          <w:lang w:val="en-US" w:eastAsia="zh-CN"/>
        </w:rPr>
        <w:t>和燃烧器</w:t>
      </w:r>
      <w:r>
        <w:rPr>
          <w:color w:val="auto"/>
        </w:rPr>
        <w:t>废气</w:t>
      </w:r>
    </w:p>
    <w:p>
      <w:pPr>
        <w:spacing w:line="360" w:lineRule="auto"/>
        <w:ind w:firstLine="480" w:firstLineChars="200"/>
        <w:rPr>
          <w:color w:val="auto"/>
        </w:rPr>
      </w:pPr>
      <w:r>
        <w:rPr>
          <w:color w:val="auto"/>
        </w:rPr>
        <w:t>根据《排污许可证申请与核发技术规范总则</w:t>
      </w:r>
      <w:r>
        <w:rPr>
          <w:rFonts w:hint="eastAsia"/>
          <w:color w:val="auto"/>
          <w:lang w:eastAsia="zh-CN"/>
        </w:rPr>
        <w:t>（</w:t>
      </w:r>
      <w:r>
        <w:rPr>
          <w:color w:val="auto"/>
        </w:rPr>
        <w:t>HJ942—2018</w:t>
      </w:r>
      <w:r>
        <w:rPr>
          <w:rFonts w:hint="eastAsia"/>
          <w:color w:val="auto"/>
          <w:lang w:eastAsia="zh-CN"/>
        </w:rPr>
        <w:t>）</w:t>
      </w:r>
      <w:r>
        <w:rPr>
          <w:color w:val="auto"/>
        </w:rPr>
        <w:t>》中无规定的基准排气的计算公式：</w:t>
      </w:r>
    </w:p>
    <w:p>
      <w:pPr>
        <w:spacing w:line="360" w:lineRule="auto"/>
        <w:ind w:firstLine="480" w:firstLineChars="200"/>
        <w:rPr>
          <w:color w:val="auto"/>
        </w:rPr>
      </w:pPr>
      <w:r>
        <w:rPr>
          <w:color w:val="auto"/>
        </w:rPr>
        <w:drawing>
          <wp:inline distT="0" distB="0" distL="0" distR="0">
            <wp:extent cx="2209800" cy="847090"/>
            <wp:effectExtent l="0" t="0" r="0" b="10160"/>
            <wp:docPr id="37" name="IM 118"/>
            <wp:cNvGraphicFramePr/>
            <a:graphic xmlns:a="http://schemas.openxmlformats.org/drawingml/2006/main">
              <a:graphicData uri="http://schemas.openxmlformats.org/drawingml/2006/picture">
                <pic:pic xmlns:pic="http://schemas.openxmlformats.org/drawingml/2006/picture">
                  <pic:nvPicPr>
                    <pic:cNvPr id="37" name="IM 118"/>
                    <pic:cNvPicPr/>
                  </pic:nvPicPr>
                  <pic:blipFill>
                    <a:blip r:embed="rId42"/>
                    <a:stretch>
                      <a:fillRect/>
                    </a:stretch>
                  </pic:blipFill>
                  <pic:spPr>
                    <a:xfrm>
                      <a:off x="0" y="0"/>
                      <a:ext cx="2209800" cy="847344"/>
                    </a:xfrm>
                    <a:prstGeom prst="rect">
                      <a:avLst/>
                    </a:prstGeom>
                  </pic:spPr>
                </pic:pic>
              </a:graphicData>
            </a:graphic>
          </wp:inline>
        </w:drawing>
      </w:r>
    </w:p>
    <w:p>
      <w:pPr>
        <w:spacing w:line="360" w:lineRule="auto"/>
        <w:ind w:firstLine="480" w:firstLineChars="200"/>
        <w:rPr>
          <w:color w:val="auto"/>
        </w:rPr>
      </w:pPr>
      <w:r>
        <w:rPr>
          <w:color w:val="auto"/>
        </w:rPr>
        <w:t>式中：Mi—第 i 个排放口污染物年许可排放量，t；</w:t>
      </w:r>
    </w:p>
    <w:p>
      <w:pPr>
        <w:spacing w:line="360" w:lineRule="auto"/>
        <w:ind w:firstLine="480" w:firstLineChars="200"/>
        <w:rPr>
          <w:color w:val="auto"/>
        </w:rPr>
      </w:pPr>
      <w:r>
        <w:rPr>
          <w:color w:val="auto"/>
        </w:rPr>
        <w:t>Q—第 i 个主要排放口风量（标态），m</w:t>
      </w:r>
      <w:r>
        <w:rPr>
          <w:color w:val="auto"/>
          <w:vertAlign w:val="superscript"/>
        </w:rPr>
        <w:t>3</w:t>
      </w:r>
      <w:r>
        <w:rPr>
          <w:color w:val="auto"/>
        </w:rPr>
        <w:t>/h；</w:t>
      </w:r>
    </w:p>
    <w:p>
      <w:pPr>
        <w:spacing w:line="360" w:lineRule="auto"/>
        <w:ind w:firstLine="480" w:firstLineChars="200"/>
        <w:rPr>
          <w:color w:val="auto"/>
        </w:rPr>
      </w:pPr>
      <w:r>
        <w:rPr>
          <w:color w:val="auto"/>
        </w:rPr>
        <w:t>C—污染物许可排放浓度限值（标态），mg/m</w:t>
      </w:r>
      <w:r>
        <w:rPr>
          <w:color w:val="auto"/>
          <w:vertAlign w:val="superscript"/>
        </w:rPr>
        <w:t>3</w:t>
      </w:r>
      <w:r>
        <w:rPr>
          <w:color w:val="auto"/>
        </w:rPr>
        <w:t>；</w:t>
      </w:r>
    </w:p>
    <w:p>
      <w:pPr>
        <w:spacing w:line="360" w:lineRule="auto"/>
        <w:ind w:firstLine="480" w:firstLineChars="200"/>
        <w:rPr>
          <w:color w:val="auto"/>
        </w:rPr>
      </w:pPr>
      <w:r>
        <w:rPr>
          <w:color w:val="auto"/>
        </w:rPr>
        <w:t>T—第 i 个主要排放口对应装置设计年生产时间，h；</w:t>
      </w:r>
    </w:p>
    <w:p>
      <w:pPr>
        <w:spacing w:line="360" w:lineRule="auto"/>
        <w:ind w:firstLine="480" w:firstLineChars="200"/>
        <w:rPr>
          <w:color w:val="auto"/>
        </w:rPr>
      </w:pPr>
      <w:r>
        <w:rPr>
          <w:color w:val="auto"/>
        </w:rPr>
        <w:t>E 年许可——污染物年许可排放量，t/a。</w:t>
      </w:r>
    </w:p>
    <w:p>
      <w:pPr>
        <w:spacing w:line="360" w:lineRule="auto"/>
        <w:ind w:firstLine="480" w:firstLineChars="200"/>
        <w:rPr>
          <w:color w:val="auto"/>
        </w:rPr>
      </w:pPr>
      <w:r>
        <w:rPr>
          <w:color w:val="auto"/>
        </w:rPr>
        <w:t>本项目DA002排气筒设计排放量Q为</w:t>
      </w:r>
      <w:r>
        <w:rPr>
          <w:rFonts w:hint="eastAsia"/>
          <w:color w:val="auto"/>
          <w:lang w:val="en-US" w:eastAsia="zh-CN"/>
        </w:rPr>
        <w:t>1</w:t>
      </w:r>
      <w:r>
        <w:rPr>
          <w:color w:val="auto"/>
        </w:rPr>
        <w:t>0000m</w:t>
      </w:r>
      <w:r>
        <w:rPr>
          <w:color w:val="auto"/>
          <w:vertAlign w:val="superscript"/>
        </w:rPr>
        <w:t>3</w:t>
      </w:r>
      <w:r>
        <w:rPr>
          <w:color w:val="auto"/>
        </w:rPr>
        <w:t>/h，年运行时间</w:t>
      </w:r>
      <w:r>
        <w:rPr>
          <w:rFonts w:hint="eastAsia"/>
          <w:color w:val="auto"/>
          <w:lang w:val="en-US" w:eastAsia="zh-CN"/>
        </w:rPr>
        <w:t>1080</w:t>
      </w:r>
      <w:r>
        <w:rPr>
          <w:color w:val="auto"/>
        </w:rPr>
        <w:t>h，颗粒物排放浓度标准限值为120mg/m</w:t>
      </w:r>
      <w:r>
        <w:rPr>
          <w:color w:val="auto"/>
          <w:vertAlign w:val="superscript"/>
        </w:rPr>
        <w:t>3</w:t>
      </w:r>
      <w:r>
        <w:rPr>
          <w:color w:val="auto"/>
        </w:rPr>
        <w:t>，二氧化硫排放浓度标准限值为550mg/m</w:t>
      </w:r>
      <w:r>
        <w:rPr>
          <w:color w:val="auto"/>
          <w:vertAlign w:val="superscript"/>
        </w:rPr>
        <w:t>3</w:t>
      </w:r>
      <w:r>
        <w:rPr>
          <w:color w:val="auto"/>
        </w:rPr>
        <w:t>，氮氧化物排放浓度标准限值为240mg/m</w:t>
      </w:r>
      <w:r>
        <w:rPr>
          <w:color w:val="auto"/>
          <w:vertAlign w:val="superscript"/>
        </w:rPr>
        <w:t>3</w:t>
      </w:r>
      <w:r>
        <w:rPr>
          <w:color w:val="auto"/>
        </w:rPr>
        <w:t>；计算过程如下：</w:t>
      </w:r>
    </w:p>
    <w:p>
      <w:pPr>
        <w:spacing w:line="360" w:lineRule="auto"/>
        <w:ind w:firstLine="480" w:firstLineChars="200"/>
        <w:rPr>
          <w:color w:val="auto"/>
        </w:rPr>
      </w:pPr>
      <w:r>
        <w:rPr>
          <w:color w:val="auto"/>
        </w:rPr>
        <w:t>颗粒物排放量=</w:t>
      </w:r>
      <w:r>
        <w:rPr>
          <w:rFonts w:hint="eastAsia"/>
          <w:color w:val="auto"/>
          <w:lang w:val="en-US" w:eastAsia="zh-CN"/>
        </w:rPr>
        <w:t>1</w:t>
      </w:r>
      <w:r>
        <w:rPr>
          <w:color w:val="auto"/>
        </w:rPr>
        <w:t>0000m</w:t>
      </w:r>
      <w:r>
        <w:rPr>
          <w:color w:val="auto"/>
          <w:vertAlign w:val="superscript"/>
        </w:rPr>
        <w:t>3</w:t>
      </w:r>
      <w:r>
        <w:rPr>
          <w:color w:val="auto"/>
        </w:rPr>
        <w:t>/h×120mg/m</w:t>
      </w:r>
      <w:r>
        <w:rPr>
          <w:color w:val="auto"/>
          <w:vertAlign w:val="superscript"/>
        </w:rPr>
        <w:t>3</w:t>
      </w:r>
      <w:r>
        <w:rPr>
          <w:color w:val="auto"/>
        </w:rPr>
        <w:t>×</w:t>
      </w:r>
      <w:r>
        <w:rPr>
          <w:rFonts w:hint="eastAsia"/>
          <w:color w:val="auto"/>
          <w:lang w:val="en-US" w:eastAsia="zh-CN"/>
        </w:rPr>
        <w:t>1080</w:t>
      </w:r>
      <w:r>
        <w:rPr>
          <w:color w:val="auto"/>
        </w:rPr>
        <w:t>h×10</w:t>
      </w:r>
      <w:r>
        <w:rPr>
          <w:color w:val="auto"/>
          <w:vertAlign w:val="superscript"/>
        </w:rPr>
        <w:t>-9</w:t>
      </w:r>
      <w:r>
        <w:rPr>
          <w:color w:val="auto"/>
        </w:rPr>
        <w:t>=</w:t>
      </w:r>
      <w:r>
        <w:rPr>
          <w:rFonts w:hint="eastAsia"/>
          <w:color w:val="auto"/>
          <w:lang w:val="en-US" w:eastAsia="zh-CN"/>
        </w:rPr>
        <w:t>1.296</w:t>
      </w:r>
      <w:r>
        <w:rPr>
          <w:color w:val="auto"/>
        </w:rPr>
        <w:t>t</w:t>
      </w:r>
    </w:p>
    <w:p>
      <w:pPr>
        <w:spacing w:line="360" w:lineRule="auto"/>
        <w:ind w:firstLine="480" w:firstLineChars="200"/>
        <w:rPr>
          <w:color w:val="auto"/>
        </w:rPr>
      </w:pPr>
      <w:r>
        <w:rPr>
          <w:color w:val="auto"/>
        </w:rPr>
        <w:t>二氧化硫排放量=</w:t>
      </w:r>
      <w:r>
        <w:rPr>
          <w:rFonts w:hint="eastAsia"/>
          <w:color w:val="auto"/>
          <w:lang w:val="en-US" w:eastAsia="zh-CN"/>
        </w:rPr>
        <w:t>1</w:t>
      </w:r>
      <w:r>
        <w:rPr>
          <w:color w:val="auto"/>
        </w:rPr>
        <w:t>0000m</w:t>
      </w:r>
      <w:r>
        <w:rPr>
          <w:color w:val="auto"/>
          <w:vertAlign w:val="superscript"/>
        </w:rPr>
        <w:t>3</w:t>
      </w:r>
      <w:r>
        <w:rPr>
          <w:color w:val="auto"/>
        </w:rPr>
        <w:t>/h×550mg/m</w:t>
      </w:r>
      <w:r>
        <w:rPr>
          <w:color w:val="auto"/>
          <w:vertAlign w:val="superscript"/>
        </w:rPr>
        <w:t>3</w:t>
      </w:r>
      <w:r>
        <w:rPr>
          <w:color w:val="auto"/>
        </w:rPr>
        <w:t>×</w:t>
      </w:r>
      <w:r>
        <w:rPr>
          <w:rFonts w:hint="eastAsia"/>
          <w:color w:val="auto"/>
          <w:lang w:val="en-US" w:eastAsia="zh-CN"/>
        </w:rPr>
        <w:t>1080</w:t>
      </w:r>
      <w:r>
        <w:rPr>
          <w:color w:val="auto"/>
        </w:rPr>
        <w:t>h×10</w:t>
      </w:r>
      <w:r>
        <w:rPr>
          <w:color w:val="auto"/>
          <w:vertAlign w:val="superscript"/>
        </w:rPr>
        <w:t>-9</w:t>
      </w:r>
      <w:r>
        <w:rPr>
          <w:color w:val="auto"/>
        </w:rPr>
        <w:t>=</w:t>
      </w:r>
      <w:r>
        <w:rPr>
          <w:rFonts w:hint="eastAsia"/>
          <w:color w:val="auto"/>
          <w:lang w:val="en-US" w:eastAsia="zh-CN"/>
        </w:rPr>
        <w:t>5.94</w:t>
      </w:r>
      <w:r>
        <w:rPr>
          <w:color w:val="auto"/>
        </w:rPr>
        <w:t>t</w:t>
      </w:r>
    </w:p>
    <w:p>
      <w:pPr>
        <w:spacing w:line="360" w:lineRule="auto"/>
        <w:ind w:firstLine="480" w:firstLineChars="200"/>
        <w:rPr>
          <w:color w:val="auto"/>
        </w:rPr>
      </w:pPr>
      <w:r>
        <w:rPr>
          <w:color w:val="auto"/>
        </w:rPr>
        <w:t>氮氧化物排放量=</w:t>
      </w:r>
      <w:r>
        <w:rPr>
          <w:rFonts w:hint="eastAsia"/>
          <w:color w:val="auto"/>
          <w:lang w:val="en-US" w:eastAsia="zh-CN"/>
        </w:rPr>
        <w:t>1</w:t>
      </w:r>
      <w:r>
        <w:rPr>
          <w:color w:val="auto"/>
        </w:rPr>
        <w:t>0000m</w:t>
      </w:r>
      <w:r>
        <w:rPr>
          <w:color w:val="auto"/>
          <w:vertAlign w:val="superscript"/>
        </w:rPr>
        <w:t>3</w:t>
      </w:r>
      <w:r>
        <w:rPr>
          <w:color w:val="auto"/>
        </w:rPr>
        <w:t>/h×240mg/m</w:t>
      </w:r>
      <w:r>
        <w:rPr>
          <w:color w:val="auto"/>
          <w:vertAlign w:val="superscript"/>
        </w:rPr>
        <w:t>3</w:t>
      </w:r>
      <w:r>
        <w:rPr>
          <w:color w:val="auto"/>
        </w:rPr>
        <w:t>×</w:t>
      </w:r>
      <w:r>
        <w:rPr>
          <w:rFonts w:hint="eastAsia"/>
          <w:color w:val="auto"/>
          <w:lang w:val="en-US" w:eastAsia="zh-CN"/>
        </w:rPr>
        <w:t>1080</w:t>
      </w:r>
      <w:r>
        <w:rPr>
          <w:color w:val="auto"/>
        </w:rPr>
        <w:t>h×10</w:t>
      </w:r>
      <w:r>
        <w:rPr>
          <w:color w:val="auto"/>
          <w:vertAlign w:val="superscript"/>
        </w:rPr>
        <w:t>-9</w:t>
      </w:r>
      <w:r>
        <w:rPr>
          <w:color w:val="auto"/>
        </w:rPr>
        <w:t>=</w:t>
      </w:r>
      <w:r>
        <w:rPr>
          <w:rFonts w:hint="eastAsia"/>
          <w:color w:val="auto"/>
          <w:lang w:val="en-US" w:eastAsia="zh-CN"/>
        </w:rPr>
        <w:t>2.592</w:t>
      </w:r>
      <w:r>
        <w:rPr>
          <w:color w:val="auto"/>
        </w:rPr>
        <w:t>t</w:t>
      </w:r>
    </w:p>
    <w:p>
      <w:pPr>
        <w:numPr>
          <w:ilvl w:val="0"/>
          <w:numId w:val="0"/>
        </w:numPr>
        <w:spacing w:line="360" w:lineRule="auto"/>
        <w:ind w:left="0" w:leftChars="0" w:firstLine="480" w:firstLineChars="200"/>
        <w:rPr>
          <w:rFonts w:hint="eastAsia"/>
          <w:color w:val="auto"/>
          <w:lang w:val="en-US" w:eastAsia="zh-CN"/>
        </w:rPr>
      </w:pPr>
      <w:r>
        <w:rPr>
          <w:rFonts w:hint="eastAsia" w:cs="Times New Roman"/>
          <w:color w:val="auto"/>
          <w:kern w:val="2"/>
          <w:sz w:val="24"/>
          <w:szCs w:val="24"/>
          <w:lang w:val="en-US" w:eastAsia="zh-CN" w:bidi="ar-SA"/>
        </w:rPr>
        <w:t>3.</w:t>
      </w:r>
      <w:r>
        <w:rPr>
          <w:rFonts w:hint="eastAsia"/>
          <w:color w:val="auto"/>
          <w:lang w:val="en-US" w:eastAsia="zh-CN"/>
        </w:rPr>
        <w:t>筒仓粉尘</w:t>
      </w:r>
    </w:p>
    <w:p>
      <w:pPr>
        <w:spacing w:line="360" w:lineRule="auto"/>
        <w:ind w:firstLine="480" w:firstLineChars="200"/>
        <w:rPr>
          <w:color w:val="auto"/>
        </w:rPr>
      </w:pPr>
      <w:r>
        <w:rPr>
          <w:color w:val="auto"/>
        </w:rPr>
        <w:t>根据《排污许可证申请与核发技 术规范总则</w:t>
      </w:r>
      <w:r>
        <w:rPr>
          <w:rFonts w:hint="eastAsia"/>
          <w:color w:val="auto"/>
          <w:lang w:eastAsia="zh-CN"/>
        </w:rPr>
        <w:t>（</w:t>
      </w:r>
      <w:r>
        <w:rPr>
          <w:color w:val="auto"/>
        </w:rPr>
        <w:t>HJ942—2018</w:t>
      </w:r>
      <w:r>
        <w:rPr>
          <w:rFonts w:hint="eastAsia"/>
          <w:color w:val="auto"/>
          <w:lang w:eastAsia="zh-CN"/>
        </w:rPr>
        <w:t>）</w:t>
      </w:r>
      <w:r>
        <w:rPr>
          <w:color w:val="auto"/>
        </w:rPr>
        <w:t>》中无规定的基准排气的计算公式：</w:t>
      </w:r>
    </w:p>
    <w:p>
      <w:pPr>
        <w:spacing w:line="360" w:lineRule="auto"/>
        <w:ind w:firstLine="480" w:firstLineChars="200"/>
        <w:rPr>
          <w:color w:val="auto"/>
        </w:rPr>
      </w:pPr>
      <w:r>
        <w:rPr>
          <w:color w:val="auto"/>
        </w:rPr>
        <w:drawing>
          <wp:inline distT="0" distB="0" distL="0" distR="0">
            <wp:extent cx="2209800" cy="847090"/>
            <wp:effectExtent l="0" t="0" r="0" b="10160"/>
            <wp:docPr id="75" name="IM 118"/>
            <wp:cNvGraphicFramePr/>
            <a:graphic xmlns:a="http://schemas.openxmlformats.org/drawingml/2006/main">
              <a:graphicData uri="http://schemas.openxmlformats.org/drawingml/2006/picture">
                <pic:pic xmlns:pic="http://schemas.openxmlformats.org/drawingml/2006/picture">
                  <pic:nvPicPr>
                    <pic:cNvPr id="75" name="IM 118"/>
                    <pic:cNvPicPr/>
                  </pic:nvPicPr>
                  <pic:blipFill>
                    <a:blip r:embed="rId42"/>
                    <a:stretch>
                      <a:fillRect/>
                    </a:stretch>
                  </pic:blipFill>
                  <pic:spPr>
                    <a:xfrm>
                      <a:off x="0" y="0"/>
                      <a:ext cx="2209800" cy="847344"/>
                    </a:xfrm>
                    <a:prstGeom prst="rect">
                      <a:avLst/>
                    </a:prstGeom>
                  </pic:spPr>
                </pic:pic>
              </a:graphicData>
            </a:graphic>
          </wp:inline>
        </w:drawing>
      </w:r>
    </w:p>
    <w:p>
      <w:pPr>
        <w:spacing w:line="360" w:lineRule="auto"/>
        <w:ind w:firstLine="480" w:firstLineChars="200"/>
        <w:rPr>
          <w:color w:val="auto"/>
        </w:rPr>
      </w:pPr>
      <w:r>
        <w:rPr>
          <w:color w:val="auto"/>
        </w:rPr>
        <w:t>式中：Mi—第 i 个排放口污染物年许可排放量，t；</w:t>
      </w:r>
    </w:p>
    <w:p>
      <w:pPr>
        <w:spacing w:line="360" w:lineRule="auto"/>
        <w:ind w:firstLine="480" w:firstLineChars="200"/>
        <w:rPr>
          <w:color w:val="auto"/>
        </w:rPr>
      </w:pPr>
      <w:r>
        <w:rPr>
          <w:color w:val="auto"/>
        </w:rPr>
        <w:t>Q—第 i 个主要排放口风量（标态），m</w:t>
      </w:r>
      <w:r>
        <w:rPr>
          <w:color w:val="auto"/>
          <w:vertAlign w:val="superscript"/>
        </w:rPr>
        <w:t>3</w:t>
      </w:r>
      <w:r>
        <w:rPr>
          <w:color w:val="auto"/>
        </w:rPr>
        <w:t>/h；</w:t>
      </w:r>
    </w:p>
    <w:p>
      <w:pPr>
        <w:spacing w:line="360" w:lineRule="auto"/>
        <w:ind w:firstLine="480" w:firstLineChars="200"/>
        <w:rPr>
          <w:color w:val="auto"/>
        </w:rPr>
      </w:pPr>
      <w:r>
        <w:rPr>
          <w:color w:val="auto"/>
        </w:rPr>
        <w:t>C—污染物许可排放浓度限值（标态），mg/m</w:t>
      </w:r>
      <w:r>
        <w:rPr>
          <w:color w:val="auto"/>
          <w:vertAlign w:val="superscript"/>
        </w:rPr>
        <w:t>3</w:t>
      </w:r>
      <w:r>
        <w:rPr>
          <w:color w:val="auto"/>
        </w:rPr>
        <w:t>；</w:t>
      </w:r>
    </w:p>
    <w:p>
      <w:pPr>
        <w:spacing w:line="360" w:lineRule="auto"/>
        <w:ind w:firstLine="480" w:firstLineChars="200"/>
        <w:rPr>
          <w:color w:val="auto"/>
        </w:rPr>
      </w:pPr>
      <w:r>
        <w:rPr>
          <w:color w:val="auto"/>
        </w:rPr>
        <w:t>T—第 i 个主要排放口对应装置设计年生产时间，h；</w:t>
      </w:r>
    </w:p>
    <w:p>
      <w:pPr>
        <w:spacing w:line="360" w:lineRule="auto"/>
        <w:ind w:firstLine="480" w:firstLineChars="200"/>
        <w:rPr>
          <w:color w:val="auto"/>
        </w:rPr>
      </w:pPr>
      <w:r>
        <w:rPr>
          <w:color w:val="auto"/>
        </w:rPr>
        <w:t>E 年许可——污染物年许可排放量，t/a。</w:t>
      </w:r>
    </w:p>
    <w:p>
      <w:pPr>
        <w:spacing w:line="360" w:lineRule="auto"/>
        <w:ind w:firstLine="480" w:firstLineChars="200"/>
        <w:rPr>
          <w:color w:val="auto"/>
        </w:rPr>
      </w:pPr>
      <w:r>
        <w:rPr>
          <w:color w:val="auto"/>
        </w:rPr>
        <w:t>本项目DA00</w:t>
      </w:r>
      <w:r>
        <w:rPr>
          <w:rFonts w:hint="eastAsia"/>
          <w:color w:val="auto"/>
          <w:lang w:val="en-US" w:eastAsia="zh-CN"/>
        </w:rPr>
        <w:t>4</w:t>
      </w:r>
      <w:r>
        <w:rPr>
          <w:color w:val="auto"/>
        </w:rPr>
        <w:t>排气筒设计排放量Q为</w:t>
      </w:r>
      <w:r>
        <w:rPr>
          <w:rFonts w:hint="eastAsia"/>
          <w:color w:val="auto"/>
          <w:lang w:val="en-US" w:eastAsia="zh-CN"/>
        </w:rPr>
        <w:t>1</w:t>
      </w:r>
      <w:r>
        <w:rPr>
          <w:color w:val="auto"/>
        </w:rPr>
        <w:t>0000m</w:t>
      </w:r>
      <w:r>
        <w:rPr>
          <w:color w:val="auto"/>
          <w:vertAlign w:val="superscript"/>
        </w:rPr>
        <w:t>3</w:t>
      </w:r>
      <w:r>
        <w:rPr>
          <w:color w:val="auto"/>
        </w:rPr>
        <w:t>/h，年运行时间</w:t>
      </w:r>
      <w:r>
        <w:rPr>
          <w:rFonts w:hint="eastAsia"/>
          <w:color w:val="auto"/>
          <w:lang w:val="en-US" w:eastAsia="zh-CN"/>
        </w:rPr>
        <w:t>133.8</w:t>
      </w:r>
      <w:r>
        <w:rPr>
          <w:color w:val="auto"/>
        </w:rPr>
        <w:t>h，颗粒物排放浓度标准限值为120mg/m</w:t>
      </w:r>
      <w:r>
        <w:rPr>
          <w:color w:val="auto"/>
          <w:vertAlign w:val="superscript"/>
        </w:rPr>
        <w:t>3</w:t>
      </w:r>
      <w:r>
        <w:rPr>
          <w:color w:val="auto"/>
        </w:rPr>
        <w:t>，计算过程如下：</w:t>
      </w:r>
    </w:p>
    <w:p>
      <w:pPr>
        <w:numPr>
          <w:ilvl w:val="0"/>
          <w:numId w:val="0"/>
        </w:numPr>
        <w:spacing w:line="360" w:lineRule="auto"/>
        <w:ind w:leftChars="200"/>
        <w:rPr>
          <w:rFonts w:hint="default" w:eastAsia="宋体"/>
          <w:color w:val="auto"/>
          <w:lang w:val="en-US" w:eastAsia="zh-CN"/>
        </w:rPr>
      </w:pPr>
      <w:r>
        <w:rPr>
          <w:color w:val="auto"/>
        </w:rPr>
        <w:t>颗粒物排放量=</w:t>
      </w:r>
      <w:r>
        <w:rPr>
          <w:rFonts w:hint="eastAsia"/>
          <w:color w:val="auto"/>
          <w:lang w:val="en-US" w:eastAsia="zh-CN"/>
        </w:rPr>
        <w:t>1</w:t>
      </w:r>
      <w:r>
        <w:rPr>
          <w:color w:val="auto"/>
        </w:rPr>
        <w:t>0000m</w:t>
      </w:r>
      <w:r>
        <w:rPr>
          <w:color w:val="auto"/>
          <w:vertAlign w:val="superscript"/>
        </w:rPr>
        <w:t>3</w:t>
      </w:r>
      <w:r>
        <w:rPr>
          <w:color w:val="auto"/>
        </w:rPr>
        <w:t>/h×120mg/m</w:t>
      </w:r>
      <w:r>
        <w:rPr>
          <w:color w:val="auto"/>
          <w:vertAlign w:val="superscript"/>
        </w:rPr>
        <w:t>3</w:t>
      </w:r>
      <w:r>
        <w:rPr>
          <w:color w:val="auto"/>
        </w:rPr>
        <w:t>×</w:t>
      </w:r>
      <w:r>
        <w:rPr>
          <w:rFonts w:hint="eastAsia"/>
          <w:color w:val="auto"/>
          <w:lang w:val="en-US" w:eastAsia="zh-CN"/>
        </w:rPr>
        <w:t>133.8</w:t>
      </w:r>
      <w:r>
        <w:rPr>
          <w:color w:val="auto"/>
        </w:rPr>
        <w:t>h×10</w:t>
      </w:r>
      <w:r>
        <w:rPr>
          <w:color w:val="auto"/>
          <w:vertAlign w:val="superscript"/>
        </w:rPr>
        <w:t>-9</w:t>
      </w:r>
      <w:r>
        <w:rPr>
          <w:color w:val="auto"/>
        </w:rPr>
        <w:t>=</w:t>
      </w:r>
      <w:r>
        <w:rPr>
          <w:rFonts w:hint="eastAsia"/>
          <w:color w:val="auto"/>
          <w:lang w:val="en-US" w:eastAsia="zh-CN"/>
        </w:rPr>
        <w:t>0.161</w:t>
      </w:r>
      <w:r>
        <w:rPr>
          <w:color w:val="auto"/>
        </w:rPr>
        <w:t>t</w:t>
      </w:r>
    </w:p>
    <w:p>
      <w:pPr>
        <w:spacing w:line="360" w:lineRule="auto"/>
        <w:ind w:firstLine="480" w:firstLineChars="200"/>
        <w:rPr>
          <w:color w:val="auto"/>
        </w:rPr>
      </w:pPr>
      <w:r>
        <w:rPr>
          <w:rFonts w:hint="eastAsia"/>
          <w:color w:val="auto"/>
          <w:lang w:val="en-US" w:eastAsia="zh-CN"/>
        </w:rPr>
        <w:t>4.</w:t>
      </w:r>
      <w:r>
        <w:rPr>
          <w:color w:val="auto"/>
        </w:rPr>
        <w:t>无组织粉尘</w:t>
      </w:r>
    </w:p>
    <w:p>
      <w:pPr>
        <w:spacing w:line="360" w:lineRule="auto"/>
        <w:ind w:firstLine="480" w:firstLineChars="200"/>
        <w:rPr>
          <w:color w:val="auto"/>
        </w:rPr>
      </w:pPr>
      <w:r>
        <w:rPr>
          <w:color w:val="auto"/>
        </w:rPr>
        <w:t>根据工程分析可知，本项目无组织排放的颗粒物为</w:t>
      </w:r>
      <w:r>
        <w:rPr>
          <w:rFonts w:hint="eastAsia"/>
          <w:color w:val="auto"/>
          <w:lang w:val="en-US" w:eastAsia="zh-CN"/>
        </w:rPr>
        <w:t>0.001</w:t>
      </w:r>
      <w:r>
        <w:rPr>
          <w:color w:val="auto"/>
        </w:rPr>
        <w:t>t/a。</w:t>
      </w:r>
    </w:p>
    <w:p>
      <w:pPr>
        <w:spacing w:line="360" w:lineRule="auto"/>
        <w:ind w:firstLine="480" w:firstLineChars="200"/>
        <w:rPr>
          <w:color w:val="auto"/>
        </w:rPr>
      </w:pPr>
      <w:r>
        <w:rPr>
          <w:rFonts w:hint="eastAsia"/>
          <w:color w:val="auto"/>
          <w:lang w:val="en-US" w:eastAsia="zh-CN"/>
        </w:rPr>
        <w:t>5.</w:t>
      </w:r>
      <w:r>
        <w:rPr>
          <w:color w:val="auto"/>
        </w:rPr>
        <w:t>挥发性有机物</w:t>
      </w:r>
    </w:p>
    <w:p>
      <w:pPr>
        <w:spacing w:line="360" w:lineRule="auto"/>
        <w:ind w:firstLine="480" w:firstLineChars="200"/>
        <w:rPr>
          <w:color w:val="auto"/>
        </w:rPr>
      </w:pPr>
      <w:r>
        <w:rPr>
          <w:color w:val="auto"/>
        </w:rPr>
        <w:t>根据《排污许可证申请与核发技术规范总则</w:t>
      </w:r>
      <w:r>
        <w:rPr>
          <w:rFonts w:hint="eastAsia"/>
          <w:color w:val="auto"/>
          <w:lang w:eastAsia="zh-CN"/>
        </w:rPr>
        <w:t>（</w:t>
      </w:r>
      <w:r>
        <w:rPr>
          <w:color w:val="auto"/>
        </w:rPr>
        <w:t>HJ942—2018</w:t>
      </w:r>
      <w:r>
        <w:rPr>
          <w:rFonts w:hint="eastAsia"/>
          <w:color w:val="auto"/>
          <w:lang w:eastAsia="zh-CN"/>
        </w:rPr>
        <w:t>）</w:t>
      </w:r>
      <w:r>
        <w:rPr>
          <w:color w:val="auto"/>
        </w:rPr>
        <w:t>》中无规定的基准排气的计算公式：</w:t>
      </w:r>
    </w:p>
    <w:p>
      <w:pPr>
        <w:spacing w:line="360" w:lineRule="auto"/>
        <w:ind w:firstLine="480" w:firstLineChars="200"/>
        <w:rPr>
          <w:color w:val="auto"/>
        </w:rPr>
      </w:pPr>
      <w:r>
        <w:rPr>
          <w:color w:val="auto"/>
        </w:rPr>
        <w:drawing>
          <wp:inline distT="0" distB="0" distL="0" distR="0">
            <wp:extent cx="2209800" cy="847090"/>
            <wp:effectExtent l="0" t="0" r="0" b="1016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42"/>
                    <a:stretch>
                      <a:fillRect/>
                    </a:stretch>
                  </pic:blipFill>
                  <pic:spPr>
                    <a:xfrm>
                      <a:off x="0" y="0"/>
                      <a:ext cx="2209800" cy="847343"/>
                    </a:xfrm>
                    <a:prstGeom prst="rect">
                      <a:avLst/>
                    </a:prstGeom>
                  </pic:spPr>
                </pic:pic>
              </a:graphicData>
            </a:graphic>
          </wp:inline>
        </w:drawing>
      </w:r>
    </w:p>
    <w:p>
      <w:pPr>
        <w:spacing w:line="360" w:lineRule="auto"/>
        <w:ind w:firstLine="480" w:firstLineChars="200"/>
        <w:rPr>
          <w:color w:val="auto"/>
        </w:rPr>
      </w:pPr>
      <w:r>
        <w:rPr>
          <w:color w:val="auto"/>
        </w:rPr>
        <w:t>式中：Mi—第 i 个排放口污染物年许可排放量，t；</w:t>
      </w:r>
    </w:p>
    <w:p>
      <w:pPr>
        <w:spacing w:line="360" w:lineRule="auto"/>
        <w:ind w:firstLine="480" w:firstLineChars="200"/>
        <w:rPr>
          <w:color w:val="auto"/>
        </w:rPr>
      </w:pPr>
      <w:r>
        <w:rPr>
          <w:color w:val="auto"/>
        </w:rPr>
        <w:t>Q—第i个主要排放口风量（标态），m</w:t>
      </w:r>
      <w:r>
        <w:rPr>
          <w:color w:val="auto"/>
          <w:vertAlign w:val="superscript"/>
        </w:rPr>
        <w:t>3</w:t>
      </w:r>
      <w:r>
        <w:rPr>
          <w:color w:val="auto"/>
        </w:rPr>
        <w:t>/h；</w:t>
      </w:r>
    </w:p>
    <w:p>
      <w:pPr>
        <w:spacing w:line="360" w:lineRule="auto"/>
        <w:ind w:firstLine="480" w:firstLineChars="200"/>
        <w:rPr>
          <w:color w:val="auto"/>
        </w:rPr>
      </w:pPr>
      <w:r>
        <w:rPr>
          <w:color w:val="auto"/>
        </w:rPr>
        <w:t>C—污染物许可排放浓度限值（标态），mg/m</w:t>
      </w:r>
      <w:r>
        <w:rPr>
          <w:color w:val="auto"/>
          <w:vertAlign w:val="superscript"/>
        </w:rPr>
        <w:t>3</w:t>
      </w:r>
      <w:r>
        <w:rPr>
          <w:color w:val="auto"/>
        </w:rPr>
        <w:t>；</w:t>
      </w:r>
    </w:p>
    <w:p>
      <w:pPr>
        <w:spacing w:line="360" w:lineRule="auto"/>
        <w:ind w:firstLine="480" w:firstLineChars="200"/>
        <w:rPr>
          <w:color w:val="auto"/>
        </w:rPr>
      </w:pPr>
      <w:r>
        <w:rPr>
          <w:color w:val="auto"/>
        </w:rPr>
        <w:t>T—第i个主要排放口对应装置设计年生产时间，h；</w:t>
      </w:r>
    </w:p>
    <w:p>
      <w:pPr>
        <w:spacing w:line="360" w:lineRule="auto"/>
        <w:ind w:firstLine="480" w:firstLineChars="200"/>
        <w:rPr>
          <w:color w:val="auto"/>
        </w:rPr>
      </w:pPr>
      <w:r>
        <w:rPr>
          <w:color w:val="auto"/>
        </w:rPr>
        <w:t>E年许可——污染物年许可排放量，t/a。</w:t>
      </w:r>
    </w:p>
    <w:p>
      <w:pPr>
        <w:spacing w:line="360" w:lineRule="auto"/>
        <w:ind w:firstLine="480" w:firstLineChars="200"/>
        <w:rPr>
          <w:color w:val="auto"/>
        </w:rPr>
      </w:pPr>
      <w:r>
        <w:rPr>
          <w:color w:val="auto"/>
        </w:rPr>
        <w:t>本项目DA00</w:t>
      </w:r>
      <w:r>
        <w:rPr>
          <w:rFonts w:hint="eastAsia"/>
          <w:color w:val="auto"/>
        </w:rPr>
        <w:t>3</w:t>
      </w:r>
      <w:r>
        <w:rPr>
          <w:color w:val="auto"/>
        </w:rPr>
        <w:t>排气筒设计排放量Q为</w:t>
      </w:r>
      <w:r>
        <w:rPr>
          <w:rFonts w:hint="eastAsia"/>
          <w:color w:val="auto"/>
          <w:lang w:val="en-US" w:eastAsia="zh-CN"/>
        </w:rPr>
        <w:t>1</w:t>
      </w:r>
      <w:r>
        <w:rPr>
          <w:color w:val="auto"/>
        </w:rPr>
        <w:t>0000m</w:t>
      </w:r>
      <w:r>
        <w:rPr>
          <w:color w:val="auto"/>
          <w:vertAlign w:val="superscript"/>
        </w:rPr>
        <w:t>3</w:t>
      </w:r>
      <w:r>
        <w:rPr>
          <w:color w:val="auto"/>
        </w:rPr>
        <w:t>/h，年运行时间</w:t>
      </w:r>
      <w:r>
        <w:rPr>
          <w:rFonts w:hint="eastAsia"/>
          <w:color w:val="auto"/>
          <w:lang w:val="en-US" w:eastAsia="zh-CN"/>
        </w:rPr>
        <w:t>1080</w:t>
      </w:r>
      <w:r>
        <w:rPr>
          <w:color w:val="auto"/>
        </w:rPr>
        <w:t>h，</w:t>
      </w:r>
      <w:r>
        <w:rPr>
          <w:rFonts w:hint="eastAsia"/>
          <w:color w:val="auto"/>
          <w:lang w:val="en-US" w:eastAsia="zh-CN"/>
        </w:rPr>
        <w:t>非甲烷总烃</w:t>
      </w:r>
      <w:r>
        <w:rPr>
          <w:color w:val="auto"/>
        </w:rPr>
        <w:t>排放浓度标准限值为</w:t>
      </w:r>
      <w:r>
        <w:rPr>
          <w:rFonts w:hint="eastAsia"/>
          <w:color w:val="auto"/>
          <w:lang w:val="en-US" w:eastAsia="zh-CN"/>
        </w:rPr>
        <w:t>120</w:t>
      </w:r>
      <w:r>
        <w:rPr>
          <w:color w:val="auto"/>
        </w:rPr>
        <w:t>mg/m</w:t>
      </w:r>
      <w:r>
        <w:rPr>
          <w:color w:val="auto"/>
          <w:vertAlign w:val="superscript"/>
        </w:rPr>
        <w:t>3</w:t>
      </w:r>
      <w:r>
        <w:rPr>
          <w:color w:val="auto"/>
        </w:rPr>
        <w:t>，计算过程如下：</w:t>
      </w:r>
    </w:p>
    <w:p>
      <w:pPr>
        <w:spacing w:line="360" w:lineRule="auto"/>
        <w:ind w:firstLine="480" w:firstLineChars="200"/>
        <w:rPr>
          <w:color w:val="auto"/>
        </w:rPr>
      </w:pPr>
      <w:r>
        <w:rPr>
          <w:color w:val="auto"/>
        </w:rPr>
        <w:t>沥青烟排放量=</w:t>
      </w:r>
      <w:r>
        <w:rPr>
          <w:rFonts w:hint="eastAsia"/>
          <w:color w:val="auto"/>
          <w:lang w:val="en-US" w:eastAsia="zh-CN"/>
        </w:rPr>
        <w:t>1</w:t>
      </w:r>
      <w:r>
        <w:rPr>
          <w:color w:val="auto"/>
        </w:rPr>
        <w:t>0000m</w:t>
      </w:r>
      <w:r>
        <w:rPr>
          <w:color w:val="auto"/>
          <w:vertAlign w:val="superscript"/>
        </w:rPr>
        <w:t>3</w:t>
      </w:r>
      <w:r>
        <w:rPr>
          <w:color w:val="auto"/>
        </w:rPr>
        <w:t>/h×</w:t>
      </w:r>
      <w:r>
        <w:rPr>
          <w:rFonts w:hint="eastAsia"/>
          <w:color w:val="auto"/>
          <w:lang w:val="en-US" w:eastAsia="zh-CN"/>
        </w:rPr>
        <w:t>120</w:t>
      </w:r>
      <w:r>
        <w:rPr>
          <w:color w:val="auto"/>
        </w:rPr>
        <w:t>mg/m</w:t>
      </w:r>
      <w:r>
        <w:rPr>
          <w:color w:val="auto"/>
          <w:vertAlign w:val="superscript"/>
        </w:rPr>
        <w:t>3</w:t>
      </w:r>
      <w:r>
        <w:rPr>
          <w:color w:val="auto"/>
        </w:rPr>
        <w:t>×</w:t>
      </w:r>
      <w:r>
        <w:rPr>
          <w:rFonts w:hint="eastAsia"/>
          <w:color w:val="auto"/>
          <w:lang w:val="en-US" w:eastAsia="zh-CN"/>
        </w:rPr>
        <w:t>1080</w:t>
      </w:r>
      <w:r>
        <w:rPr>
          <w:color w:val="auto"/>
        </w:rPr>
        <w:t>h×10</w:t>
      </w:r>
      <w:r>
        <w:rPr>
          <w:color w:val="auto"/>
          <w:vertAlign w:val="superscript"/>
        </w:rPr>
        <w:t>-9</w:t>
      </w:r>
      <w:r>
        <w:rPr>
          <w:color w:val="auto"/>
        </w:rPr>
        <w:t>=</w:t>
      </w:r>
      <w:r>
        <w:rPr>
          <w:rFonts w:hint="eastAsia"/>
          <w:color w:val="auto"/>
          <w:lang w:val="en-US" w:eastAsia="zh-CN"/>
        </w:rPr>
        <w:t>1.296</w:t>
      </w:r>
      <w:r>
        <w:rPr>
          <w:color w:val="auto"/>
        </w:rPr>
        <w:t>t</w:t>
      </w:r>
    </w:p>
    <w:p>
      <w:pPr>
        <w:jc w:val="center"/>
        <w:rPr>
          <w:color w:val="auto"/>
        </w:rPr>
      </w:pPr>
      <w:r>
        <w:rPr>
          <w:color w:val="auto"/>
        </w:rPr>
        <w:t>表 2 本项目污染物核定排放量一览表</w:t>
      </w:r>
    </w:p>
    <w:tbl>
      <w:tblPr>
        <w:tblStyle w:val="81"/>
        <w:tblW w:w="851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2948"/>
        <w:gridCol w:w="39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9" w:hRule="atLeast"/>
        </w:trPr>
        <w:tc>
          <w:tcPr>
            <w:tcW w:w="1655" w:type="dxa"/>
            <w:tcBorders>
              <w:top w:val="single" w:color="000000" w:sz="10" w:space="0"/>
              <w:left w:val="nil"/>
            </w:tcBorders>
          </w:tcPr>
          <w:p>
            <w:pPr>
              <w:jc w:val="center"/>
              <w:rPr>
                <w:color w:val="auto"/>
                <w:sz w:val="21"/>
                <w:szCs w:val="21"/>
              </w:rPr>
            </w:pPr>
            <w:r>
              <w:rPr>
                <w:color w:val="auto"/>
                <w:sz w:val="21"/>
                <w:szCs w:val="21"/>
              </w:rPr>
              <w:t>类别</w:t>
            </w:r>
          </w:p>
        </w:tc>
        <w:tc>
          <w:tcPr>
            <w:tcW w:w="2948" w:type="dxa"/>
            <w:tcBorders>
              <w:top w:val="single" w:color="000000" w:sz="10" w:space="0"/>
            </w:tcBorders>
          </w:tcPr>
          <w:p>
            <w:pPr>
              <w:jc w:val="center"/>
              <w:rPr>
                <w:color w:val="auto"/>
                <w:sz w:val="21"/>
                <w:szCs w:val="21"/>
              </w:rPr>
            </w:pPr>
            <w:r>
              <w:rPr>
                <w:color w:val="auto"/>
                <w:sz w:val="21"/>
                <w:szCs w:val="21"/>
              </w:rPr>
              <w:t>污染物</w:t>
            </w:r>
          </w:p>
        </w:tc>
        <w:tc>
          <w:tcPr>
            <w:tcW w:w="3908" w:type="dxa"/>
            <w:tcBorders>
              <w:top w:val="single" w:color="000000" w:sz="10" w:space="0"/>
              <w:right w:val="nil"/>
            </w:tcBorders>
          </w:tcPr>
          <w:p>
            <w:pPr>
              <w:jc w:val="center"/>
              <w:rPr>
                <w:color w:val="auto"/>
                <w:sz w:val="21"/>
                <w:szCs w:val="21"/>
              </w:rPr>
            </w:pPr>
            <w:r>
              <w:rPr>
                <w:color w:val="auto"/>
                <w:sz w:val="21"/>
                <w:szCs w:val="21"/>
              </w:rPr>
              <w:t>核定排放量（t/a）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8" w:hRule="atLeast"/>
        </w:trPr>
        <w:tc>
          <w:tcPr>
            <w:tcW w:w="1655" w:type="dxa"/>
            <w:vMerge w:val="restart"/>
            <w:tcBorders>
              <w:left w:val="nil"/>
              <w:bottom w:val="nil"/>
            </w:tcBorders>
          </w:tcPr>
          <w:p>
            <w:pPr>
              <w:jc w:val="center"/>
              <w:rPr>
                <w:color w:val="auto"/>
                <w:sz w:val="21"/>
                <w:szCs w:val="21"/>
              </w:rPr>
            </w:pPr>
            <w:r>
              <w:rPr>
                <w:color w:val="auto"/>
                <w:sz w:val="21"/>
                <w:szCs w:val="21"/>
              </w:rPr>
              <w:t>废气</w:t>
            </w:r>
          </w:p>
        </w:tc>
        <w:tc>
          <w:tcPr>
            <w:tcW w:w="2948" w:type="dxa"/>
            <w:vAlign w:val="center"/>
          </w:tcPr>
          <w:p>
            <w:pPr>
              <w:pStyle w:val="23"/>
              <w:keepNext w:val="0"/>
              <w:keepLines w:val="0"/>
              <w:suppressLineNumbers w:val="0"/>
              <w:tabs>
                <w:tab w:val="right" w:leader="dot" w:pos="8720"/>
              </w:tabs>
              <w:spacing w:before="0" w:beforeAutospacing="0" w:after="0" w:afterAutospacing="0"/>
              <w:ind w:left="0" w:leftChars="0" w:right="0" w:rightChars="0"/>
              <w:jc w:val="center"/>
              <w:rPr>
                <w:color w:val="auto"/>
                <w:sz w:val="21"/>
                <w:szCs w:val="21"/>
              </w:rPr>
            </w:pPr>
            <w:r>
              <w:rPr>
                <w:rFonts w:hint="default" w:ascii="Times New Roman" w:hAnsi="Times New Roman" w:cs="Times New Roman"/>
                <w:color w:val="auto"/>
                <w:sz w:val="21"/>
                <w:szCs w:val="21"/>
              </w:rPr>
              <w:t>颗粒物</w:t>
            </w:r>
          </w:p>
        </w:tc>
        <w:tc>
          <w:tcPr>
            <w:tcW w:w="3908" w:type="dxa"/>
            <w:tcBorders>
              <w:right w:val="nil"/>
            </w:tcBorders>
          </w:tcPr>
          <w:p>
            <w:pPr>
              <w:jc w:val="center"/>
              <w:rPr>
                <w:rFonts w:hint="default" w:eastAsia="宋体"/>
                <w:color w:val="auto"/>
                <w:sz w:val="21"/>
                <w:szCs w:val="21"/>
                <w:lang w:val="en-US" w:eastAsia="zh-CN"/>
              </w:rPr>
            </w:pPr>
            <w:r>
              <w:rPr>
                <w:rFonts w:hint="eastAsia"/>
                <w:color w:val="auto"/>
                <w:sz w:val="21"/>
                <w:szCs w:val="21"/>
                <w:lang w:val="en-US" w:eastAsia="zh-CN"/>
              </w:rPr>
              <w:t>1.557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3" w:hRule="atLeast"/>
        </w:trPr>
        <w:tc>
          <w:tcPr>
            <w:tcW w:w="1655" w:type="dxa"/>
            <w:vMerge w:val="continue"/>
            <w:tcBorders>
              <w:top w:val="nil"/>
              <w:left w:val="nil"/>
              <w:bottom w:val="nil"/>
            </w:tcBorders>
          </w:tcPr>
          <w:p>
            <w:pPr>
              <w:jc w:val="center"/>
              <w:rPr>
                <w:color w:val="auto"/>
                <w:sz w:val="21"/>
                <w:szCs w:val="21"/>
              </w:rPr>
            </w:pPr>
          </w:p>
        </w:tc>
        <w:tc>
          <w:tcPr>
            <w:tcW w:w="2948" w:type="dxa"/>
            <w:vAlign w:val="center"/>
          </w:tcPr>
          <w:p>
            <w:pPr>
              <w:pStyle w:val="23"/>
              <w:keepNext w:val="0"/>
              <w:keepLines w:val="0"/>
              <w:suppressLineNumbers w:val="0"/>
              <w:tabs>
                <w:tab w:val="right" w:leader="dot" w:pos="8720"/>
              </w:tabs>
              <w:spacing w:before="0" w:beforeAutospacing="0" w:after="0" w:afterAutospacing="0"/>
              <w:ind w:left="0" w:leftChars="0" w:right="0" w:rightChars="0"/>
              <w:jc w:val="center"/>
              <w:rPr>
                <w:color w:val="auto"/>
                <w:sz w:val="21"/>
                <w:szCs w:val="21"/>
              </w:rPr>
            </w:pPr>
            <w:r>
              <w:rPr>
                <w:rFonts w:hint="default" w:ascii="Times New Roman" w:hAnsi="Times New Roman" w:cs="Times New Roman"/>
                <w:color w:val="auto"/>
                <w:sz w:val="21"/>
                <w:szCs w:val="21"/>
              </w:rPr>
              <w:t>二氧化硫</w:t>
            </w:r>
          </w:p>
        </w:tc>
        <w:tc>
          <w:tcPr>
            <w:tcW w:w="3908" w:type="dxa"/>
            <w:tcBorders>
              <w:right w:val="nil"/>
            </w:tcBorders>
          </w:tcPr>
          <w:p>
            <w:pPr>
              <w:jc w:val="center"/>
              <w:rPr>
                <w:rFonts w:hint="default" w:eastAsia="宋体"/>
                <w:color w:val="auto"/>
                <w:sz w:val="21"/>
                <w:szCs w:val="21"/>
                <w:lang w:val="en-US" w:eastAsia="zh-CN"/>
              </w:rPr>
            </w:pPr>
            <w:r>
              <w:rPr>
                <w:rFonts w:hint="eastAsia"/>
                <w:color w:val="auto"/>
                <w:sz w:val="21"/>
                <w:szCs w:val="21"/>
                <w:lang w:val="en-US" w:eastAsia="zh-CN"/>
              </w:rPr>
              <w:t>6.733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0" w:hRule="atLeast"/>
        </w:trPr>
        <w:tc>
          <w:tcPr>
            <w:tcW w:w="1655" w:type="dxa"/>
            <w:vMerge w:val="continue"/>
            <w:tcBorders>
              <w:top w:val="nil"/>
              <w:left w:val="nil"/>
              <w:bottom w:val="nil"/>
            </w:tcBorders>
          </w:tcPr>
          <w:p>
            <w:pPr>
              <w:jc w:val="center"/>
              <w:rPr>
                <w:color w:val="auto"/>
                <w:sz w:val="21"/>
                <w:szCs w:val="21"/>
              </w:rPr>
            </w:pPr>
          </w:p>
        </w:tc>
        <w:tc>
          <w:tcPr>
            <w:tcW w:w="2948" w:type="dxa"/>
            <w:vAlign w:val="center"/>
          </w:tcPr>
          <w:p>
            <w:pPr>
              <w:pStyle w:val="23"/>
              <w:keepNext w:val="0"/>
              <w:keepLines w:val="0"/>
              <w:suppressLineNumbers w:val="0"/>
              <w:tabs>
                <w:tab w:val="right" w:leader="dot" w:pos="8720"/>
              </w:tabs>
              <w:spacing w:before="0" w:beforeAutospacing="0" w:after="0" w:afterAutospacing="0"/>
              <w:ind w:left="0" w:leftChars="0" w:right="0" w:rightChars="0"/>
              <w:jc w:val="center"/>
              <w:rPr>
                <w:color w:val="auto"/>
                <w:sz w:val="21"/>
                <w:szCs w:val="21"/>
              </w:rPr>
            </w:pPr>
            <w:r>
              <w:rPr>
                <w:rFonts w:hint="default" w:ascii="Times New Roman" w:hAnsi="Times New Roman" w:cs="Times New Roman"/>
                <w:color w:val="auto"/>
                <w:sz w:val="21"/>
                <w:szCs w:val="21"/>
              </w:rPr>
              <w:t>氮氧化物</w:t>
            </w:r>
          </w:p>
        </w:tc>
        <w:tc>
          <w:tcPr>
            <w:tcW w:w="3908" w:type="dxa"/>
            <w:tcBorders>
              <w:right w:val="nil"/>
            </w:tcBorders>
          </w:tcPr>
          <w:p>
            <w:pPr>
              <w:jc w:val="center"/>
              <w:rPr>
                <w:rFonts w:hint="default" w:eastAsia="宋体"/>
                <w:color w:val="auto"/>
                <w:sz w:val="21"/>
                <w:szCs w:val="21"/>
                <w:lang w:val="en-US" w:eastAsia="zh-CN"/>
              </w:rPr>
            </w:pPr>
            <w:r>
              <w:rPr>
                <w:rFonts w:hint="eastAsia"/>
                <w:color w:val="auto"/>
                <w:sz w:val="21"/>
                <w:szCs w:val="21"/>
                <w:lang w:val="en-US" w:eastAsia="zh-CN"/>
              </w:rPr>
              <w:t>3.583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655" w:type="dxa"/>
            <w:vMerge w:val="continue"/>
            <w:tcBorders>
              <w:top w:val="nil"/>
              <w:left w:val="nil"/>
            </w:tcBorders>
          </w:tcPr>
          <w:p>
            <w:pPr>
              <w:jc w:val="center"/>
              <w:rPr>
                <w:color w:val="auto"/>
                <w:sz w:val="21"/>
                <w:szCs w:val="21"/>
              </w:rPr>
            </w:pPr>
          </w:p>
        </w:tc>
        <w:tc>
          <w:tcPr>
            <w:tcW w:w="2948" w:type="dxa"/>
          </w:tcPr>
          <w:p>
            <w:pPr>
              <w:jc w:val="center"/>
              <w:rPr>
                <w:rFonts w:hint="eastAsia" w:eastAsia="宋体"/>
                <w:color w:val="auto"/>
                <w:sz w:val="21"/>
                <w:szCs w:val="21"/>
                <w:lang w:eastAsia="zh-CN"/>
              </w:rPr>
            </w:pPr>
            <w:r>
              <w:rPr>
                <w:rFonts w:hint="eastAsia"/>
                <w:color w:val="auto"/>
                <w:sz w:val="21"/>
                <w:szCs w:val="21"/>
                <w:lang w:val="en-US" w:eastAsia="zh-CN"/>
              </w:rPr>
              <w:t>非甲烷总烃</w:t>
            </w:r>
          </w:p>
        </w:tc>
        <w:tc>
          <w:tcPr>
            <w:tcW w:w="3908" w:type="dxa"/>
            <w:tcBorders>
              <w:right w:val="nil"/>
            </w:tcBorders>
          </w:tcPr>
          <w:p>
            <w:pPr>
              <w:jc w:val="center"/>
              <w:rPr>
                <w:rFonts w:hint="default" w:eastAsia="宋体"/>
                <w:color w:val="auto"/>
                <w:sz w:val="21"/>
                <w:szCs w:val="21"/>
                <w:lang w:val="en-US" w:eastAsia="zh-CN"/>
              </w:rPr>
            </w:pPr>
            <w:r>
              <w:rPr>
                <w:rFonts w:hint="eastAsia"/>
                <w:color w:val="auto"/>
                <w:sz w:val="21"/>
                <w:szCs w:val="21"/>
                <w:lang w:val="en-US" w:eastAsia="zh-CN"/>
              </w:rPr>
              <w:t>1.296</w:t>
            </w:r>
          </w:p>
        </w:tc>
      </w:tr>
    </w:tbl>
    <w:p>
      <w:pPr>
        <w:rPr>
          <w:color w:val="auto"/>
        </w:rPr>
      </w:pPr>
    </w:p>
    <w:sectPr>
      <w:pgSz w:w="11906" w:h="16838"/>
      <w:pgMar w:top="1701" w:right="1531" w:bottom="1701" w:left="1531"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4850431"/>
    </w:sdtPr>
    <w:sdtContent>
      <w:p>
        <w:pPr>
          <w:pStyle w:val="22"/>
          <w:jc w:val="center"/>
        </w:pPr>
        <w:r>
          <w:fldChar w:fldCharType="begin"/>
        </w:r>
        <w:r>
          <w:instrText xml:space="preserve">PAGE   \* MERGEFORMAT</w:instrText>
        </w:r>
        <w:r>
          <w:fldChar w:fldCharType="separate"/>
        </w:r>
        <w:r>
          <w:rPr>
            <w:lang w:val="zh-CN"/>
          </w:rPr>
          <w:t>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788613"/>
    </w:sdtPr>
    <w:sdtContent>
      <w:p>
        <w:pPr>
          <w:pStyle w:val="22"/>
          <w:jc w:val="center"/>
        </w:pPr>
        <w:r>
          <w:fldChar w:fldCharType="begin"/>
        </w:r>
        <w:r>
          <w:instrText xml:space="preserve">PAGE   \* MERGEFORMAT</w:instrText>
        </w:r>
        <w:r>
          <w:fldChar w:fldCharType="separate"/>
        </w:r>
        <w:r>
          <w:rPr>
            <w:lang w:val="zh-CN"/>
          </w:rPr>
          <w:t>64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8119"/>
    </w:sdtPr>
    <w:sdtContent>
      <w:p>
        <w:pPr>
          <w:pStyle w:val="22"/>
          <w:jc w:val="center"/>
        </w:pPr>
        <w:r>
          <w:fldChar w:fldCharType="begin"/>
        </w:r>
        <w:r>
          <w:instrText xml:space="preserve">PAGE   \* MERGEFORMAT</w:instrText>
        </w:r>
        <w:r>
          <w:fldChar w:fldCharType="separate"/>
        </w:r>
        <w:r>
          <w:rPr>
            <w:lang w:val="zh-CN"/>
          </w:rPr>
          <w:t>65</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0935"/>
    </w:sdtPr>
    <w:sdtContent>
      <w:p>
        <w:pPr>
          <w:pStyle w:val="22"/>
          <w:jc w:val="center"/>
        </w:pPr>
        <w:r>
          <w:fldChar w:fldCharType="begin"/>
        </w:r>
        <w:r>
          <w:instrText xml:space="preserve">PAGE   \* MERGEFORMAT</w:instrText>
        </w:r>
        <w:r>
          <w:fldChar w:fldCharType="separate"/>
        </w:r>
        <w:r>
          <w:rPr>
            <w:lang w:val="zh-CN"/>
          </w:rPr>
          <w:t>65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733A5"/>
    <w:multiLevelType w:val="singleLevel"/>
    <w:tmpl w:val="82A733A5"/>
    <w:lvl w:ilvl="0" w:tentative="0">
      <w:start w:val="1"/>
      <w:numFmt w:val="decimal"/>
      <w:suff w:val="nothing"/>
      <w:lvlText w:val="%1、"/>
      <w:lvlJc w:val="left"/>
    </w:lvl>
  </w:abstractNum>
  <w:abstractNum w:abstractNumId="1">
    <w:nsid w:val="8FDBAE81"/>
    <w:multiLevelType w:val="singleLevel"/>
    <w:tmpl w:val="8FDBAE81"/>
    <w:lvl w:ilvl="0" w:tentative="0">
      <w:start w:val="1"/>
      <w:numFmt w:val="decimal"/>
      <w:suff w:val="nothing"/>
      <w:lvlText w:val="（%1）"/>
      <w:lvlJc w:val="left"/>
    </w:lvl>
  </w:abstractNum>
  <w:abstractNum w:abstractNumId="2">
    <w:nsid w:val="9D126A5E"/>
    <w:multiLevelType w:val="singleLevel"/>
    <w:tmpl w:val="9D126A5E"/>
    <w:lvl w:ilvl="0" w:tentative="0">
      <w:start w:val="1"/>
      <w:numFmt w:val="decimal"/>
      <w:suff w:val="nothing"/>
      <w:lvlText w:val="%1、"/>
      <w:lvlJc w:val="left"/>
    </w:lvl>
  </w:abstractNum>
  <w:abstractNum w:abstractNumId="3">
    <w:nsid w:val="9E8E1EBC"/>
    <w:multiLevelType w:val="singleLevel"/>
    <w:tmpl w:val="9E8E1EBC"/>
    <w:lvl w:ilvl="0" w:tentative="0">
      <w:start w:val="1"/>
      <w:numFmt w:val="chineseCounting"/>
      <w:suff w:val="nothing"/>
      <w:lvlText w:val="%1、"/>
      <w:lvlJc w:val="left"/>
      <w:rPr>
        <w:rFonts w:hint="eastAsia"/>
      </w:rPr>
    </w:lvl>
  </w:abstractNum>
  <w:abstractNum w:abstractNumId="4">
    <w:nsid w:val="A3598B1D"/>
    <w:multiLevelType w:val="singleLevel"/>
    <w:tmpl w:val="A3598B1D"/>
    <w:lvl w:ilvl="0" w:tentative="0">
      <w:start w:val="1"/>
      <w:numFmt w:val="decimal"/>
      <w:suff w:val="nothing"/>
      <w:lvlText w:val="%1、"/>
      <w:lvlJc w:val="left"/>
    </w:lvl>
  </w:abstractNum>
  <w:abstractNum w:abstractNumId="5">
    <w:nsid w:val="A35C1098"/>
    <w:multiLevelType w:val="singleLevel"/>
    <w:tmpl w:val="A35C1098"/>
    <w:lvl w:ilvl="0" w:tentative="0">
      <w:start w:val="2"/>
      <w:numFmt w:val="decimal"/>
      <w:suff w:val="nothing"/>
      <w:lvlText w:val="（%1）"/>
      <w:lvlJc w:val="left"/>
      <w:pPr>
        <w:ind w:left="0"/>
      </w:pPr>
    </w:lvl>
  </w:abstractNum>
  <w:abstractNum w:abstractNumId="6">
    <w:nsid w:val="AA93E183"/>
    <w:multiLevelType w:val="singleLevel"/>
    <w:tmpl w:val="AA93E183"/>
    <w:lvl w:ilvl="0" w:tentative="0">
      <w:start w:val="1"/>
      <w:numFmt w:val="decimal"/>
      <w:pStyle w:val="66"/>
      <w:suff w:val="nothing"/>
      <w:lvlText w:val="图%1 "/>
      <w:lvlJc w:val="left"/>
      <w:pPr>
        <w:tabs>
          <w:tab w:val="left" w:pos="0"/>
        </w:tabs>
        <w:ind w:left="0" w:firstLine="0"/>
      </w:pPr>
      <w:rPr>
        <w:rFonts w:hint="default" w:ascii="宋体" w:hAnsi="宋体" w:eastAsia="宋体" w:cs="宋体"/>
        <w:color w:val="auto"/>
      </w:rPr>
    </w:lvl>
  </w:abstractNum>
  <w:abstractNum w:abstractNumId="7">
    <w:nsid w:val="C6ACB3A8"/>
    <w:multiLevelType w:val="singleLevel"/>
    <w:tmpl w:val="C6ACB3A8"/>
    <w:lvl w:ilvl="0" w:tentative="0">
      <w:start w:val="1"/>
      <w:numFmt w:val="decimal"/>
      <w:pStyle w:val="55"/>
      <w:suff w:val="nothing"/>
      <w:lvlText w:val="表1-%1"/>
      <w:lvlJc w:val="left"/>
      <w:pPr>
        <w:tabs>
          <w:tab w:val="left" w:pos="0"/>
        </w:tabs>
        <w:ind w:left="0" w:firstLine="0"/>
      </w:pPr>
      <w:rPr>
        <w:rFonts w:hint="default" w:ascii="宋体" w:hAnsi="宋体" w:eastAsia="宋体" w:cs="宋体"/>
      </w:rPr>
    </w:lvl>
  </w:abstractNum>
  <w:abstractNum w:abstractNumId="8">
    <w:nsid w:val="00000003"/>
    <w:multiLevelType w:val="singleLevel"/>
    <w:tmpl w:val="00000003"/>
    <w:lvl w:ilvl="0" w:tentative="0">
      <w:start w:val="3"/>
      <w:numFmt w:val="decimal"/>
      <w:suff w:val="nothing"/>
      <w:lvlText w:val="%1．"/>
      <w:lvlJc w:val="left"/>
    </w:lvl>
  </w:abstractNum>
  <w:abstractNum w:abstractNumId="9">
    <w:nsid w:val="0D4E87FF"/>
    <w:multiLevelType w:val="singleLevel"/>
    <w:tmpl w:val="0D4E87FF"/>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0">
    <w:nsid w:val="16C8005F"/>
    <w:multiLevelType w:val="singleLevel"/>
    <w:tmpl w:val="16C8005F"/>
    <w:lvl w:ilvl="0" w:tentative="0">
      <w:start w:val="1"/>
      <w:numFmt w:val="decimal"/>
      <w:suff w:val="nothing"/>
      <w:lvlText w:val="%1、"/>
      <w:lvlJc w:val="left"/>
    </w:lvl>
  </w:abstractNum>
  <w:abstractNum w:abstractNumId="11">
    <w:nsid w:val="32E7195A"/>
    <w:multiLevelType w:val="singleLevel"/>
    <w:tmpl w:val="32E7195A"/>
    <w:lvl w:ilvl="0" w:tentative="0">
      <w:start w:val="1"/>
      <w:numFmt w:val="decimal"/>
      <w:suff w:val="nothing"/>
      <w:lvlText w:val="（%1）"/>
      <w:lvlJc w:val="left"/>
    </w:lvl>
  </w:abstractNum>
  <w:abstractNum w:abstractNumId="12">
    <w:nsid w:val="450E982E"/>
    <w:multiLevelType w:val="singleLevel"/>
    <w:tmpl w:val="450E982E"/>
    <w:lvl w:ilvl="0" w:tentative="0">
      <w:start w:val="1"/>
      <w:numFmt w:val="decimal"/>
      <w:suff w:val="nothing"/>
      <w:lvlText w:val="%1、"/>
      <w:lvlJc w:val="left"/>
    </w:lvl>
  </w:abstractNum>
  <w:abstractNum w:abstractNumId="13">
    <w:nsid w:val="62BEE49E"/>
    <w:multiLevelType w:val="singleLevel"/>
    <w:tmpl w:val="62BEE49E"/>
    <w:lvl w:ilvl="0" w:tentative="0">
      <w:start w:val="1"/>
      <w:numFmt w:val="decimal"/>
      <w:suff w:val="nothing"/>
      <w:lvlText w:val="（%1）"/>
      <w:lvlJc w:val="left"/>
    </w:lvl>
  </w:abstractNum>
  <w:num w:numId="1">
    <w:abstractNumId w:val="9"/>
  </w:num>
  <w:num w:numId="2">
    <w:abstractNumId w:val="7"/>
  </w:num>
  <w:num w:numId="3">
    <w:abstractNumId w:val="6"/>
  </w:num>
  <w:num w:numId="4">
    <w:abstractNumId w:val="10"/>
  </w:num>
  <w:num w:numId="5">
    <w:abstractNumId w:val="13"/>
  </w:num>
  <w:num w:numId="6">
    <w:abstractNumId w:val="0"/>
  </w:num>
  <w:num w:numId="7">
    <w:abstractNumId w:val="5"/>
  </w:num>
  <w:num w:numId="8">
    <w:abstractNumId w:val="8"/>
  </w:num>
  <w:num w:numId="9">
    <w:abstractNumId w:val="2"/>
  </w:num>
  <w:num w:numId="10">
    <w:abstractNumId w:val="4"/>
  </w:num>
  <w:num w:numId="11">
    <w:abstractNumId w:val="12"/>
  </w:num>
  <w:num w:numId="12">
    <w:abstractNumId w:val="11"/>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4ZWQwMWZjODMwZDU1NTJkYTg4YjNiOTVlMmVhMmUifQ=="/>
    <w:docVar w:name="KSO_WPS_MARK_KEY" w:val="4abd3199-ac0d-4a74-ae6f-e334c977468e"/>
  </w:docVars>
  <w:rsids>
    <w:rsidRoot w:val="00172A27"/>
    <w:rsid w:val="0002316C"/>
    <w:rsid w:val="000D5837"/>
    <w:rsid w:val="000E4628"/>
    <w:rsid w:val="000E6CCB"/>
    <w:rsid w:val="000E7D96"/>
    <w:rsid w:val="000F405F"/>
    <w:rsid w:val="001001B1"/>
    <w:rsid w:val="00133D04"/>
    <w:rsid w:val="00150EAD"/>
    <w:rsid w:val="0015443C"/>
    <w:rsid w:val="00172A27"/>
    <w:rsid w:val="001907C7"/>
    <w:rsid w:val="001C4911"/>
    <w:rsid w:val="00201FF6"/>
    <w:rsid w:val="00265636"/>
    <w:rsid w:val="002713FF"/>
    <w:rsid w:val="00285002"/>
    <w:rsid w:val="002A75D7"/>
    <w:rsid w:val="002B09B0"/>
    <w:rsid w:val="002D03F1"/>
    <w:rsid w:val="002D3F6C"/>
    <w:rsid w:val="0031793A"/>
    <w:rsid w:val="00361F2D"/>
    <w:rsid w:val="003F512D"/>
    <w:rsid w:val="004109B6"/>
    <w:rsid w:val="00442244"/>
    <w:rsid w:val="004672B9"/>
    <w:rsid w:val="004A2FEC"/>
    <w:rsid w:val="004B17AB"/>
    <w:rsid w:val="004D3FDE"/>
    <w:rsid w:val="004D50D2"/>
    <w:rsid w:val="004D7151"/>
    <w:rsid w:val="004D76A7"/>
    <w:rsid w:val="00505AC8"/>
    <w:rsid w:val="005161A3"/>
    <w:rsid w:val="005539E6"/>
    <w:rsid w:val="00565A86"/>
    <w:rsid w:val="005C6ADC"/>
    <w:rsid w:val="005D1BA3"/>
    <w:rsid w:val="005F5D85"/>
    <w:rsid w:val="00600D95"/>
    <w:rsid w:val="00650E7B"/>
    <w:rsid w:val="0065115A"/>
    <w:rsid w:val="00675481"/>
    <w:rsid w:val="006827EC"/>
    <w:rsid w:val="00682FCA"/>
    <w:rsid w:val="00685AD4"/>
    <w:rsid w:val="006B78E8"/>
    <w:rsid w:val="006E6660"/>
    <w:rsid w:val="006F4FC9"/>
    <w:rsid w:val="0070517D"/>
    <w:rsid w:val="00744E0A"/>
    <w:rsid w:val="00746D2A"/>
    <w:rsid w:val="0075336F"/>
    <w:rsid w:val="00792EC3"/>
    <w:rsid w:val="00792F6A"/>
    <w:rsid w:val="007F1DC2"/>
    <w:rsid w:val="00814001"/>
    <w:rsid w:val="008335A3"/>
    <w:rsid w:val="00886C3A"/>
    <w:rsid w:val="008A468F"/>
    <w:rsid w:val="008B7E28"/>
    <w:rsid w:val="008D7627"/>
    <w:rsid w:val="00906786"/>
    <w:rsid w:val="00955D41"/>
    <w:rsid w:val="0095649C"/>
    <w:rsid w:val="009626C4"/>
    <w:rsid w:val="00971AFA"/>
    <w:rsid w:val="00974208"/>
    <w:rsid w:val="009829E9"/>
    <w:rsid w:val="00992956"/>
    <w:rsid w:val="009D7621"/>
    <w:rsid w:val="00A258DF"/>
    <w:rsid w:val="00A36E06"/>
    <w:rsid w:val="00A910FF"/>
    <w:rsid w:val="00B64DC6"/>
    <w:rsid w:val="00B81F3D"/>
    <w:rsid w:val="00B87A8B"/>
    <w:rsid w:val="00BE6DFC"/>
    <w:rsid w:val="00BE7625"/>
    <w:rsid w:val="00C018CC"/>
    <w:rsid w:val="00C055A7"/>
    <w:rsid w:val="00C2071E"/>
    <w:rsid w:val="00C56973"/>
    <w:rsid w:val="00C85F49"/>
    <w:rsid w:val="00CA32A9"/>
    <w:rsid w:val="00CD03B4"/>
    <w:rsid w:val="00D058EB"/>
    <w:rsid w:val="00D15F3F"/>
    <w:rsid w:val="00D375EB"/>
    <w:rsid w:val="00D9434D"/>
    <w:rsid w:val="00DC2ACB"/>
    <w:rsid w:val="00E15DC9"/>
    <w:rsid w:val="00E15EF9"/>
    <w:rsid w:val="00E43ACC"/>
    <w:rsid w:val="00EA4DBD"/>
    <w:rsid w:val="00EB202C"/>
    <w:rsid w:val="00EC2A58"/>
    <w:rsid w:val="00EF3C9D"/>
    <w:rsid w:val="00F2726A"/>
    <w:rsid w:val="00F51819"/>
    <w:rsid w:val="00F618ED"/>
    <w:rsid w:val="00F86E2E"/>
    <w:rsid w:val="00F9156C"/>
    <w:rsid w:val="00FA032C"/>
    <w:rsid w:val="00FB05B6"/>
    <w:rsid w:val="00FE6630"/>
    <w:rsid w:val="00FE7B94"/>
    <w:rsid w:val="01051131"/>
    <w:rsid w:val="012873DD"/>
    <w:rsid w:val="012B4701"/>
    <w:rsid w:val="013257FA"/>
    <w:rsid w:val="013E2686"/>
    <w:rsid w:val="014852B3"/>
    <w:rsid w:val="017F7A39"/>
    <w:rsid w:val="01813A41"/>
    <w:rsid w:val="019D115B"/>
    <w:rsid w:val="01BF08DF"/>
    <w:rsid w:val="01CC352B"/>
    <w:rsid w:val="01D64122"/>
    <w:rsid w:val="01D652C6"/>
    <w:rsid w:val="02025241"/>
    <w:rsid w:val="020B5BF3"/>
    <w:rsid w:val="02170144"/>
    <w:rsid w:val="02281ED7"/>
    <w:rsid w:val="022C7B64"/>
    <w:rsid w:val="023C638C"/>
    <w:rsid w:val="025A661F"/>
    <w:rsid w:val="02605424"/>
    <w:rsid w:val="0268024D"/>
    <w:rsid w:val="026B74AB"/>
    <w:rsid w:val="027B2E6D"/>
    <w:rsid w:val="0281282A"/>
    <w:rsid w:val="02B1787F"/>
    <w:rsid w:val="02B72A33"/>
    <w:rsid w:val="02E11993"/>
    <w:rsid w:val="02E42DB9"/>
    <w:rsid w:val="02EF28D7"/>
    <w:rsid w:val="035F3358"/>
    <w:rsid w:val="03634F89"/>
    <w:rsid w:val="03640DAF"/>
    <w:rsid w:val="0374401A"/>
    <w:rsid w:val="0377023A"/>
    <w:rsid w:val="037B24DF"/>
    <w:rsid w:val="0382553B"/>
    <w:rsid w:val="039B7301"/>
    <w:rsid w:val="03A006C9"/>
    <w:rsid w:val="03AE406F"/>
    <w:rsid w:val="03C9242B"/>
    <w:rsid w:val="03D570BA"/>
    <w:rsid w:val="03E84E6C"/>
    <w:rsid w:val="03EE3EEF"/>
    <w:rsid w:val="03FF4891"/>
    <w:rsid w:val="040C25C7"/>
    <w:rsid w:val="041F333C"/>
    <w:rsid w:val="04265206"/>
    <w:rsid w:val="042A0CA0"/>
    <w:rsid w:val="04560B78"/>
    <w:rsid w:val="04770389"/>
    <w:rsid w:val="04781A0B"/>
    <w:rsid w:val="047F0FEB"/>
    <w:rsid w:val="04826D2E"/>
    <w:rsid w:val="048D26C5"/>
    <w:rsid w:val="04961346"/>
    <w:rsid w:val="049D55FD"/>
    <w:rsid w:val="04B0389B"/>
    <w:rsid w:val="04C5214E"/>
    <w:rsid w:val="04DE38A1"/>
    <w:rsid w:val="04E13A54"/>
    <w:rsid w:val="04E62E18"/>
    <w:rsid w:val="050414F1"/>
    <w:rsid w:val="051B56E2"/>
    <w:rsid w:val="051E0804"/>
    <w:rsid w:val="05216546"/>
    <w:rsid w:val="052851DF"/>
    <w:rsid w:val="054D2B48"/>
    <w:rsid w:val="05635028"/>
    <w:rsid w:val="057C5E66"/>
    <w:rsid w:val="05A36F5B"/>
    <w:rsid w:val="05BD78A1"/>
    <w:rsid w:val="05D42087"/>
    <w:rsid w:val="05D62E8D"/>
    <w:rsid w:val="05F1723E"/>
    <w:rsid w:val="05F35E11"/>
    <w:rsid w:val="06021ED4"/>
    <w:rsid w:val="06165417"/>
    <w:rsid w:val="06210291"/>
    <w:rsid w:val="06395907"/>
    <w:rsid w:val="064C0269"/>
    <w:rsid w:val="065918A2"/>
    <w:rsid w:val="066F24B8"/>
    <w:rsid w:val="06846D8D"/>
    <w:rsid w:val="06986394"/>
    <w:rsid w:val="06AF5DA4"/>
    <w:rsid w:val="06B82F13"/>
    <w:rsid w:val="06C172C0"/>
    <w:rsid w:val="06F07F7E"/>
    <w:rsid w:val="06F40DF7"/>
    <w:rsid w:val="06F86E33"/>
    <w:rsid w:val="07101CBA"/>
    <w:rsid w:val="071719AF"/>
    <w:rsid w:val="07177C01"/>
    <w:rsid w:val="072B00F8"/>
    <w:rsid w:val="072D2F81"/>
    <w:rsid w:val="075B6A1A"/>
    <w:rsid w:val="075D21B2"/>
    <w:rsid w:val="07647916"/>
    <w:rsid w:val="076A19B4"/>
    <w:rsid w:val="07727F9D"/>
    <w:rsid w:val="078608E3"/>
    <w:rsid w:val="078A7B78"/>
    <w:rsid w:val="078F1ED8"/>
    <w:rsid w:val="079D2C7B"/>
    <w:rsid w:val="079D3790"/>
    <w:rsid w:val="07A05C0E"/>
    <w:rsid w:val="07A2461A"/>
    <w:rsid w:val="07A33756"/>
    <w:rsid w:val="07A5520D"/>
    <w:rsid w:val="07A5586E"/>
    <w:rsid w:val="07BF4EA6"/>
    <w:rsid w:val="07D04650"/>
    <w:rsid w:val="07DD5F1D"/>
    <w:rsid w:val="07DE2AF3"/>
    <w:rsid w:val="07DF79F3"/>
    <w:rsid w:val="08000695"/>
    <w:rsid w:val="08110B3E"/>
    <w:rsid w:val="0812042C"/>
    <w:rsid w:val="08163548"/>
    <w:rsid w:val="081B0581"/>
    <w:rsid w:val="082F0F7A"/>
    <w:rsid w:val="08357123"/>
    <w:rsid w:val="084802CB"/>
    <w:rsid w:val="084B1D3D"/>
    <w:rsid w:val="08530956"/>
    <w:rsid w:val="0865674A"/>
    <w:rsid w:val="08795696"/>
    <w:rsid w:val="08A63489"/>
    <w:rsid w:val="08CE42EF"/>
    <w:rsid w:val="08E8182B"/>
    <w:rsid w:val="08E92ED7"/>
    <w:rsid w:val="0905687E"/>
    <w:rsid w:val="09103F20"/>
    <w:rsid w:val="091A20DC"/>
    <w:rsid w:val="091F4B4B"/>
    <w:rsid w:val="0923288D"/>
    <w:rsid w:val="09271C52"/>
    <w:rsid w:val="092E3EBD"/>
    <w:rsid w:val="0949606C"/>
    <w:rsid w:val="095B2C98"/>
    <w:rsid w:val="09626A2B"/>
    <w:rsid w:val="09F00295"/>
    <w:rsid w:val="09F2225F"/>
    <w:rsid w:val="0A20501F"/>
    <w:rsid w:val="0A456833"/>
    <w:rsid w:val="0A932840"/>
    <w:rsid w:val="0AA645FD"/>
    <w:rsid w:val="0AAB4AFD"/>
    <w:rsid w:val="0B06101A"/>
    <w:rsid w:val="0B197307"/>
    <w:rsid w:val="0B3D461F"/>
    <w:rsid w:val="0B4213C4"/>
    <w:rsid w:val="0B4B645A"/>
    <w:rsid w:val="0B5D7BAD"/>
    <w:rsid w:val="0B696551"/>
    <w:rsid w:val="0BBA5954"/>
    <w:rsid w:val="0BD23B79"/>
    <w:rsid w:val="0BE669AA"/>
    <w:rsid w:val="0BF30382"/>
    <w:rsid w:val="0C1A0207"/>
    <w:rsid w:val="0C1C5981"/>
    <w:rsid w:val="0C1E0CB3"/>
    <w:rsid w:val="0C216E2C"/>
    <w:rsid w:val="0C2A3F33"/>
    <w:rsid w:val="0C377BC7"/>
    <w:rsid w:val="0C385D69"/>
    <w:rsid w:val="0C605BA6"/>
    <w:rsid w:val="0C635F3F"/>
    <w:rsid w:val="0C9756F4"/>
    <w:rsid w:val="0CAF4438"/>
    <w:rsid w:val="0CB75678"/>
    <w:rsid w:val="0CB85725"/>
    <w:rsid w:val="0CCC6D53"/>
    <w:rsid w:val="0CCF5D53"/>
    <w:rsid w:val="0CDF2A41"/>
    <w:rsid w:val="0CEF044E"/>
    <w:rsid w:val="0CFB2D23"/>
    <w:rsid w:val="0D0C37AB"/>
    <w:rsid w:val="0D2E1801"/>
    <w:rsid w:val="0D52020E"/>
    <w:rsid w:val="0D5266DD"/>
    <w:rsid w:val="0D6250FA"/>
    <w:rsid w:val="0D8920C3"/>
    <w:rsid w:val="0D8E6743"/>
    <w:rsid w:val="0D924597"/>
    <w:rsid w:val="0DA0710C"/>
    <w:rsid w:val="0DA07F67"/>
    <w:rsid w:val="0DA27AF9"/>
    <w:rsid w:val="0DA73361"/>
    <w:rsid w:val="0DAD4E1B"/>
    <w:rsid w:val="0DC17B4D"/>
    <w:rsid w:val="0DD63C79"/>
    <w:rsid w:val="0DEB5944"/>
    <w:rsid w:val="0DEC2FDC"/>
    <w:rsid w:val="0DF476ED"/>
    <w:rsid w:val="0E363C84"/>
    <w:rsid w:val="0E506753"/>
    <w:rsid w:val="0E5378BC"/>
    <w:rsid w:val="0E6F54E0"/>
    <w:rsid w:val="0E763B0A"/>
    <w:rsid w:val="0EFA03A8"/>
    <w:rsid w:val="0EFD750F"/>
    <w:rsid w:val="0F0132DD"/>
    <w:rsid w:val="0F0740B7"/>
    <w:rsid w:val="0F126B7C"/>
    <w:rsid w:val="0F341119"/>
    <w:rsid w:val="0F396E75"/>
    <w:rsid w:val="0F5045C3"/>
    <w:rsid w:val="0F556482"/>
    <w:rsid w:val="0F563204"/>
    <w:rsid w:val="0F563FEC"/>
    <w:rsid w:val="0F6D4583"/>
    <w:rsid w:val="0F783207"/>
    <w:rsid w:val="0F7A67B9"/>
    <w:rsid w:val="0F7B0F31"/>
    <w:rsid w:val="0F7B3402"/>
    <w:rsid w:val="0F807F7E"/>
    <w:rsid w:val="0F81030D"/>
    <w:rsid w:val="0F851307"/>
    <w:rsid w:val="0FB23264"/>
    <w:rsid w:val="0FC1559D"/>
    <w:rsid w:val="0FC1695C"/>
    <w:rsid w:val="0FCD5301"/>
    <w:rsid w:val="0FDB2367"/>
    <w:rsid w:val="0FE36E63"/>
    <w:rsid w:val="0FE653B3"/>
    <w:rsid w:val="0FFA00C0"/>
    <w:rsid w:val="100E67A9"/>
    <w:rsid w:val="105C0433"/>
    <w:rsid w:val="10875321"/>
    <w:rsid w:val="109337A1"/>
    <w:rsid w:val="10A77DC5"/>
    <w:rsid w:val="10AB12C6"/>
    <w:rsid w:val="10CA51CE"/>
    <w:rsid w:val="10D740EF"/>
    <w:rsid w:val="10DE48CA"/>
    <w:rsid w:val="10DF2E5F"/>
    <w:rsid w:val="10E2302E"/>
    <w:rsid w:val="10E941DA"/>
    <w:rsid w:val="10F16DCD"/>
    <w:rsid w:val="110F36F7"/>
    <w:rsid w:val="11185408"/>
    <w:rsid w:val="11387EA5"/>
    <w:rsid w:val="11421D1E"/>
    <w:rsid w:val="11491A87"/>
    <w:rsid w:val="115575CC"/>
    <w:rsid w:val="11637494"/>
    <w:rsid w:val="11755C50"/>
    <w:rsid w:val="119360D6"/>
    <w:rsid w:val="119D1304"/>
    <w:rsid w:val="11BB5FD7"/>
    <w:rsid w:val="11C45C63"/>
    <w:rsid w:val="12075B5D"/>
    <w:rsid w:val="12120E35"/>
    <w:rsid w:val="122B3166"/>
    <w:rsid w:val="123B7807"/>
    <w:rsid w:val="1240455E"/>
    <w:rsid w:val="12435D4E"/>
    <w:rsid w:val="12812DF3"/>
    <w:rsid w:val="12925B28"/>
    <w:rsid w:val="12AC282E"/>
    <w:rsid w:val="12AD766B"/>
    <w:rsid w:val="12B56153"/>
    <w:rsid w:val="12BE3627"/>
    <w:rsid w:val="12CF45EB"/>
    <w:rsid w:val="12D76496"/>
    <w:rsid w:val="12DC3469"/>
    <w:rsid w:val="12ED78AF"/>
    <w:rsid w:val="13165693"/>
    <w:rsid w:val="1338209E"/>
    <w:rsid w:val="13441D7E"/>
    <w:rsid w:val="13767A5D"/>
    <w:rsid w:val="13775F92"/>
    <w:rsid w:val="13783D50"/>
    <w:rsid w:val="137D0DEC"/>
    <w:rsid w:val="13946135"/>
    <w:rsid w:val="13B011C1"/>
    <w:rsid w:val="13C06F2A"/>
    <w:rsid w:val="14027543"/>
    <w:rsid w:val="140432BB"/>
    <w:rsid w:val="14076BA8"/>
    <w:rsid w:val="14302A0B"/>
    <w:rsid w:val="14456D19"/>
    <w:rsid w:val="145032CE"/>
    <w:rsid w:val="14620B7A"/>
    <w:rsid w:val="14885C9A"/>
    <w:rsid w:val="14AD3953"/>
    <w:rsid w:val="14B671DA"/>
    <w:rsid w:val="14C41C33"/>
    <w:rsid w:val="14E530ED"/>
    <w:rsid w:val="14E71FA9"/>
    <w:rsid w:val="14F926F4"/>
    <w:rsid w:val="150A46B8"/>
    <w:rsid w:val="151D2886"/>
    <w:rsid w:val="152C0FBD"/>
    <w:rsid w:val="15421B43"/>
    <w:rsid w:val="15462E71"/>
    <w:rsid w:val="15925469"/>
    <w:rsid w:val="159A3ED7"/>
    <w:rsid w:val="159C6E1F"/>
    <w:rsid w:val="15B463FC"/>
    <w:rsid w:val="15D13671"/>
    <w:rsid w:val="15D32F45"/>
    <w:rsid w:val="15D34412"/>
    <w:rsid w:val="15D464FA"/>
    <w:rsid w:val="15D60A76"/>
    <w:rsid w:val="15DD675C"/>
    <w:rsid w:val="160841DF"/>
    <w:rsid w:val="16113A6D"/>
    <w:rsid w:val="161C210D"/>
    <w:rsid w:val="162846D7"/>
    <w:rsid w:val="162A61AE"/>
    <w:rsid w:val="16334B86"/>
    <w:rsid w:val="16353C00"/>
    <w:rsid w:val="163804D9"/>
    <w:rsid w:val="163C6D3C"/>
    <w:rsid w:val="165D6CB3"/>
    <w:rsid w:val="1674297A"/>
    <w:rsid w:val="16924BAE"/>
    <w:rsid w:val="16A11295"/>
    <w:rsid w:val="16AC59D6"/>
    <w:rsid w:val="16B56AEF"/>
    <w:rsid w:val="16BA5EB3"/>
    <w:rsid w:val="16BE59A3"/>
    <w:rsid w:val="16C44F84"/>
    <w:rsid w:val="16D01B7A"/>
    <w:rsid w:val="16D504B2"/>
    <w:rsid w:val="16D50F3F"/>
    <w:rsid w:val="16DB46AC"/>
    <w:rsid w:val="16DB47A7"/>
    <w:rsid w:val="16E55626"/>
    <w:rsid w:val="16F13FCB"/>
    <w:rsid w:val="16F371D0"/>
    <w:rsid w:val="16FA0730"/>
    <w:rsid w:val="1705788A"/>
    <w:rsid w:val="172A6C08"/>
    <w:rsid w:val="172F01EE"/>
    <w:rsid w:val="17325D54"/>
    <w:rsid w:val="173D7210"/>
    <w:rsid w:val="174D511E"/>
    <w:rsid w:val="17523A5A"/>
    <w:rsid w:val="17525E52"/>
    <w:rsid w:val="177E5132"/>
    <w:rsid w:val="17D12233"/>
    <w:rsid w:val="17D32096"/>
    <w:rsid w:val="17DA1C7A"/>
    <w:rsid w:val="17F555C0"/>
    <w:rsid w:val="18106DB8"/>
    <w:rsid w:val="18143D15"/>
    <w:rsid w:val="183948C6"/>
    <w:rsid w:val="1856296E"/>
    <w:rsid w:val="185C1EE0"/>
    <w:rsid w:val="186254EB"/>
    <w:rsid w:val="18773A2D"/>
    <w:rsid w:val="188D1AD1"/>
    <w:rsid w:val="18CB2317"/>
    <w:rsid w:val="18D0495C"/>
    <w:rsid w:val="18DA45EA"/>
    <w:rsid w:val="18E24C22"/>
    <w:rsid w:val="18F25DD8"/>
    <w:rsid w:val="190478B9"/>
    <w:rsid w:val="19324427"/>
    <w:rsid w:val="195E16BF"/>
    <w:rsid w:val="197B401F"/>
    <w:rsid w:val="197F1956"/>
    <w:rsid w:val="198361C6"/>
    <w:rsid w:val="198A7DBF"/>
    <w:rsid w:val="198D5B01"/>
    <w:rsid w:val="19A2797B"/>
    <w:rsid w:val="19C76EF5"/>
    <w:rsid w:val="19CF1C75"/>
    <w:rsid w:val="19FB6BA4"/>
    <w:rsid w:val="1A1F5268"/>
    <w:rsid w:val="1A276D19"/>
    <w:rsid w:val="1A3A284F"/>
    <w:rsid w:val="1A6527F6"/>
    <w:rsid w:val="1A694830"/>
    <w:rsid w:val="1A7F369B"/>
    <w:rsid w:val="1A9F789A"/>
    <w:rsid w:val="1AA43102"/>
    <w:rsid w:val="1AA9774D"/>
    <w:rsid w:val="1AAB4D8E"/>
    <w:rsid w:val="1AAC1FB7"/>
    <w:rsid w:val="1AB20A27"/>
    <w:rsid w:val="1AE41750"/>
    <w:rsid w:val="1B24250F"/>
    <w:rsid w:val="1B560DFA"/>
    <w:rsid w:val="1B56242C"/>
    <w:rsid w:val="1B694D12"/>
    <w:rsid w:val="1B795E10"/>
    <w:rsid w:val="1B813443"/>
    <w:rsid w:val="1B87101F"/>
    <w:rsid w:val="1BB211BC"/>
    <w:rsid w:val="1BBE445F"/>
    <w:rsid w:val="1BC51AD2"/>
    <w:rsid w:val="1BC87785"/>
    <w:rsid w:val="1BF00B53"/>
    <w:rsid w:val="1C093B64"/>
    <w:rsid w:val="1C156909"/>
    <w:rsid w:val="1C222DB2"/>
    <w:rsid w:val="1C2A0B69"/>
    <w:rsid w:val="1C3B7A96"/>
    <w:rsid w:val="1C3C07FD"/>
    <w:rsid w:val="1C466AD3"/>
    <w:rsid w:val="1C640D9B"/>
    <w:rsid w:val="1C791070"/>
    <w:rsid w:val="1C8419F2"/>
    <w:rsid w:val="1CD55808"/>
    <w:rsid w:val="1D103BB5"/>
    <w:rsid w:val="1D1125A5"/>
    <w:rsid w:val="1D171713"/>
    <w:rsid w:val="1D2E3157"/>
    <w:rsid w:val="1D305121"/>
    <w:rsid w:val="1D517433"/>
    <w:rsid w:val="1D7F5FC9"/>
    <w:rsid w:val="1DC0183F"/>
    <w:rsid w:val="1DC046F7"/>
    <w:rsid w:val="1DC65566"/>
    <w:rsid w:val="1DD60DAC"/>
    <w:rsid w:val="1DD7758F"/>
    <w:rsid w:val="1DF223D6"/>
    <w:rsid w:val="1DF52CF8"/>
    <w:rsid w:val="1E0068A1"/>
    <w:rsid w:val="1E061966"/>
    <w:rsid w:val="1E18008F"/>
    <w:rsid w:val="1E2101B0"/>
    <w:rsid w:val="1E2210EC"/>
    <w:rsid w:val="1E236208"/>
    <w:rsid w:val="1E335527"/>
    <w:rsid w:val="1E4C5F8A"/>
    <w:rsid w:val="1E513891"/>
    <w:rsid w:val="1E5817D5"/>
    <w:rsid w:val="1E611110"/>
    <w:rsid w:val="1E62755C"/>
    <w:rsid w:val="1E6E7EF3"/>
    <w:rsid w:val="1E822C14"/>
    <w:rsid w:val="1EC1036C"/>
    <w:rsid w:val="1EE71CC4"/>
    <w:rsid w:val="1EF81C6E"/>
    <w:rsid w:val="1F074574"/>
    <w:rsid w:val="1F0D5C9D"/>
    <w:rsid w:val="1F130423"/>
    <w:rsid w:val="1F1F5B75"/>
    <w:rsid w:val="1F443106"/>
    <w:rsid w:val="1F570627"/>
    <w:rsid w:val="1FAC42A3"/>
    <w:rsid w:val="1FBC2C9C"/>
    <w:rsid w:val="1FBE2D85"/>
    <w:rsid w:val="1FCA360B"/>
    <w:rsid w:val="1FE426A0"/>
    <w:rsid w:val="1FF24D88"/>
    <w:rsid w:val="1FF5744C"/>
    <w:rsid w:val="20041B05"/>
    <w:rsid w:val="20043C15"/>
    <w:rsid w:val="201725C8"/>
    <w:rsid w:val="204F7A43"/>
    <w:rsid w:val="205B2F3F"/>
    <w:rsid w:val="2071465E"/>
    <w:rsid w:val="20735512"/>
    <w:rsid w:val="20791AB4"/>
    <w:rsid w:val="20831A0C"/>
    <w:rsid w:val="20887EF5"/>
    <w:rsid w:val="20891D4B"/>
    <w:rsid w:val="20973CE5"/>
    <w:rsid w:val="20AA343C"/>
    <w:rsid w:val="20AF44F6"/>
    <w:rsid w:val="20B0050F"/>
    <w:rsid w:val="20B35E4D"/>
    <w:rsid w:val="20BD316F"/>
    <w:rsid w:val="20C22221"/>
    <w:rsid w:val="20CE350F"/>
    <w:rsid w:val="20D1686A"/>
    <w:rsid w:val="20D65FDF"/>
    <w:rsid w:val="20DC2A65"/>
    <w:rsid w:val="20F33380"/>
    <w:rsid w:val="20FC2382"/>
    <w:rsid w:val="20FF1E7E"/>
    <w:rsid w:val="21073A8F"/>
    <w:rsid w:val="21265292"/>
    <w:rsid w:val="21373159"/>
    <w:rsid w:val="21445C63"/>
    <w:rsid w:val="21581F02"/>
    <w:rsid w:val="215D04AF"/>
    <w:rsid w:val="215D5117"/>
    <w:rsid w:val="21600CBF"/>
    <w:rsid w:val="216B4602"/>
    <w:rsid w:val="217B037E"/>
    <w:rsid w:val="21845A3B"/>
    <w:rsid w:val="219F0AF3"/>
    <w:rsid w:val="21B35D09"/>
    <w:rsid w:val="21B77BBF"/>
    <w:rsid w:val="21C72E5E"/>
    <w:rsid w:val="21C95959"/>
    <w:rsid w:val="21CB262D"/>
    <w:rsid w:val="21E80691"/>
    <w:rsid w:val="21F25DF0"/>
    <w:rsid w:val="220311B7"/>
    <w:rsid w:val="2207561C"/>
    <w:rsid w:val="220F3557"/>
    <w:rsid w:val="22117BFE"/>
    <w:rsid w:val="22162B37"/>
    <w:rsid w:val="2218084D"/>
    <w:rsid w:val="221E379A"/>
    <w:rsid w:val="221F1C9E"/>
    <w:rsid w:val="222362C6"/>
    <w:rsid w:val="22327245"/>
    <w:rsid w:val="223A5954"/>
    <w:rsid w:val="224650EC"/>
    <w:rsid w:val="22555A05"/>
    <w:rsid w:val="22560FBE"/>
    <w:rsid w:val="225673D8"/>
    <w:rsid w:val="227E07B0"/>
    <w:rsid w:val="22A2261D"/>
    <w:rsid w:val="22B45EAC"/>
    <w:rsid w:val="22D66F36"/>
    <w:rsid w:val="22E20C6B"/>
    <w:rsid w:val="22E71484"/>
    <w:rsid w:val="22EF6B24"/>
    <w:rsid w:val="22F37B3A"/>
    <w:rsid w:val="22F67252"/>
    <w:rsid w:val="23005595"/>
    <w:rsid w:val="23015FD6"/>
    <w:rsid w:val="230E380E"/>
    <w:rsid w:val="231F62CC"/>
    <w:rsid w:val="23237914"/>
    <w:rsid w:val="232447D6"/>
    <w:rsid w:val="233F66E9"/>
    <w:rsid w:val="2344609A"/>
    <w:rsid w:val="235F572C"/>
    <w:rsid w:val="236621A9"/>
    <w:rsid w:val="2369767D"/>
    <w:rsid w:val="2375388E"/>
    <w:rsid w:val="239A7798"/>
    <w:rsid w:val="23A924A0"/>
    <w:rsid w:val="23B0586E"/>
    <w:rsid w:val="23BF608C"/>
    <w:rsid w:val="23C860B3"/>
    <w:rsid w:val="23D028AF"/>
    <w:rsid w:val="23DA7B95"/>
    <w:rsid w:val="23F91212"/>
    <w:rsid w:val="2407370E"/>
    <w:rsid w:val="240F02DC"/>
    <w:rsid w:val="243E0123"/>
    <w:rsid w:val="24404245"/>
    <w:rsid w:val="24503715"/>
    <w:rsid w:val="24DC1A33"/>
    <w:rsid w:val="24DF6259"/>
    <w:rsid w:val="24FD454C"/>
    <w:rsid w:val="2505521B"/>
    <w:rsid w:val="25230DD3"/>
    <w:rsid w:val="252C4420"/>
    <w:rsid w:val="25322DDD"/>
    <w:rsid w:val="255909F8"/>
    <w:rsid w:val="25614090"/>
    <w:rsid w:val="257302A1"/>
    <w:rsid w:val="25782CB7"/>
    <w:rsid w:val="257A6407"/>
    <w:rsid w:val="259D70CC"/>
    <w:rsid w:val="25A246E2"/>
    <w:rsid w:val="25B3069D"/>
    <w:rsid w:val="25B56652"/>
    <w:rsid w:val="25BC57A4"/>
    <w:rsid w:val="25CB3738"/>
    <w:rsid w:val="25D32AED"/>
    <w:rsid w:val="25E1136B"/>
    <w:rsid w:val="25EA03B8"/>
    <w:rsid w:val="260932B7"/>
    <w:rsid w:val="260B76E6"/>
    <w:rsid w:val="262D66A1"/>
    <w:rsid w:val="262D6FB4"/>
    <w:rsid w:val="26304FF4"/>
    <w:rsid w:val="26633E71"/>
    <w:rsid w:val="26675484"/>
    <w:rsid w:val="26784FC8"/>
    <w:rsid w:val="26793695"/>
    <w:rsid w:val="269C67AD"/>
    <w:rsid w:val="26A91DFC"/>
    <w:rsid w:val="26B5202F"/>
    <w:rsid w:val="26DE5BEE"/>
    <w:rsid w:val="270A3887"/>
    <w:rsid w:val="270F5E15"/>
    <w:rsid w:val="271D4D8D"/>
    <w:rsid w:val="271F3753"/>
    <w:rsid w:val="27447C3E"/>
    <w:rsid w:val="274F0AD9"/>
    <w:rsid w:val="275017AA"/>
    <w:rsid w:val="2753038A"/>
    <w:rsid w:val="27535D5F"/>
    <w:rsid w:val="27634E89"/>
    <w:rsid w:val="277B1447"/>
    <w:rsid w:val="27924C6E"/>
    <w:rsid w:val="27AE55C0"/>
    <w:rsid w:val="27C54D4F"/>
    <w:rsid w:val="27CB0E50"/>
    <w:rsid w:val="27DB07C4"/>
    <w:rsid w:val="27E5180D"/>
    <w:rsid w:val="27F42B67"/>
    <w:rsid w:val="2801515C"/>
    <w:rsid w:val="281A6D74"/>
    <w:rsid w:val="281C4C20"/>
    <w:rsid w:val="284657F9"/>
    <w:rsid w:val="284F3F7B"/>
    <w:rsid w:val="2874680A"/>
    <w:rsid w:val="2886653D"/>
    <w:rsid w:val="28A661CE"/>
    <w:rsid w:val="28A96759"/>
    <w:rsid w:val="28C037FD"/>
    <w:rsid w:val="28DD12C3"/>
    <w:rsid w:val="28E60D8A"/>
    <w:rsid w:val="2901329B"/>
    <w:rsid w:val="290B3759"/>
    <w:rsid w:val="29125D2C"/>
    <w:rsid w:val="291E49C7"/>
    <w:rsid w:val="2920429C"/>
    <w:rsid w:val="29235B3A"/>
    <w:rsid w:val="29262C2A"/>
    <w:rsid w:val="29306D25"/>
    <w:rsid w:val="293D309F"/>
    <w:rsid w:val="29515A10"/>
    <w:rsid w:val="296B368D"/>
    <w:rsid w:val="29912D84"/>
    <w:rsid w:val="29946A38"/>
    <w:rsid w:val="299642A4"/>
    <w:rsid w:val="29A12475"/>
    <w:rsid w:val="29A22F02"/>
    <w:rsid w:val="29B45ED9"/>
    <w:rsid w:val="29BB5D72"/>
    <w:rsid w:val="29D878F7"/>
    <w:rsid w:val="29EA13DF"/>
    <w:rsid w:val="2A19034C"/>
    <w:rsid w:val="2A2658E2"/>
    <w:rsid w:val="2A273406"/>
    <w:rsid w:val="2A375AA7"/>
    <w:rsid w:val="2A500BB0"/>
    <w:rsid w:val="2A5C3D7C"/>
    <w:rsid w:val="2A8E3487"/>
    <w:rsid w:val="2AA258D1"/>
    <w:rsid w:val="2AD25A69"/>
    <w:rsid w:val="2AE914ED"/>
    <w:rsid w:val="2AEA2DB3"/>
    <w:rsid w:val="2B1C1A5C"/>
    <w:rsid w:val="2B595843"/>
    <w:rsid w:val="2B6E5792"/>
    <w:rsid w:val="2B772A8E"/>
    <w:rsid w:val="2B922C93"/>
    <w:rsid w:val="2B96231B"/>
    <w:rsid w:val="2BA51DE4"/>
    <w:rsid w:val="2BBE7D9C"/>
    <w:rsid w:val="2BC14D3C"/>
    <w:rsid w:val="2BC2269F"/>
    <w:rsid w:val="2BDB7C6F"/>
    <w:rsid w:val="2BE36DB2"/>
    <w:rsid w:val="2C1252F5"/>
    <w:rsid w:val="2C2F02F7"/>
    <w:rsid w:val="2C333F8C"/>
    <w:rsid w:val="2C351E0C"/>
    <w:rsid w:val="2C372E39"/>
    <w:rsid w:val="2C3D6F12"/>
    <w:rsid w:val="2C3F72CB"/>
    <w:rsid w:val="2C477D91"/>
    <w:rsid w:val="2C5C383D"/>
    <w:rsid w:val="2C631143"/>
    <w:rsid w:val="2C8843DA"/>
    <w:rsid w:val="2C951E6E"/>
    <w:rsid w:val="2C96444C"/>
    <w:rsid w:val="2C9A25B7"/>
    <w:rsid w:val="2CBA0563"/>
    <w:rsid w:val="2CC3566A"/>
    <w:rsid w:val="2CC8389F"/>
    <w:rsid w:val="2CD57BB9"/>
    <w:rsid w:val="2CE44D3D"/>
    <w:rsid w:val="2D031F0A"/>
    <w:rsid w:val="2D0A14C6"/>
    <w:rsid w:val="2D14516D"/>
    <w:rsid w:val="2D19766B"/>
    <w:rsid w:val="2D1E4B94"/>
    <w:rsid w:val="2D2828D0"/>
    <w:rsid w:val="2D2D2ACF"/>
    <w:rsid w:val="2D396E2B"/>
    <w:rsid w:val="2D5717A8"/>
    <w:rsid w:val="2D6548BB"/>
    <w:rsid w:val="2D7B23E8"/>
    <w:rsid w:val="2D870734"/>
    <w:rsid w:val="2D9E1C33"/>
    <w:rsid w:val="2DAF3E40"/>
    <w:rsid w:val="2DD76962"/>
    <w:rsid w:val="2DF16206"/>
    <w:rsid w:val="2DF61F79"/>
    <w:rsid w:val="2E1343CF"/>
    <w:rsid w:val="2E1A58A5"/>
    <w:rsid w:val="2E1B3283"/>
    <w:rsid w:val="2E220AB6"/>
    <w:rsid w:val="2E4834CF"/>
    <w:rsid w:val="2E523FAF"/>
    <w:rsid w:val="2E620EB2"/>
    <w:rsid w:val="2E9574DA"/>
    <w:rsid w:val="2E980D78"/>
    <w:rsid w:val="2EB678A6"/>
    <w:rsid w:val="2EEF2217"/>
    <w:rsid w:val="2F261EE0"/>
    <w:rsid w:val="2F380EC1"/>
    <w:rsid w:val="2F3D416C"/>
    <w:rsid w:val="2F6738B0"/>
    <w:rsid w:val="2F6F7D2B"/>
    <w:rsid w:val="2F7964B4"/>
    <w:rsid w:val="2F8077F6"/>
    <w:rsid w:val="2FCF2577"/>
    <w:rsid w:val="2FD7790A"/>
    <w:rsid w:val="2FE42670"/>
    <w:rsid w:val="300F506A"/>
    <w:rsid w:val="30314FE0"/>
    <w:rsid w:val="30322514"/>
    <w:rsid w:val="306071DC"/>
    <w:rsid w:val="306332B5"/>
    <w:rsid w:val="30866D76"/>
    <w:rsid w:val="3089704F"/>
    <w:rsid w:val="309D2F86"/>
    <w:rsid w:val="30BA0FFB"/>
    <w:rsid w:val="30D047F9"/>
    <w:rsid w:val="30D541D4"/>
    <w:rsid w:val="30DD17B8"/>
    <w:rsid w:val="30E12562"/>
    <w:rsid w:val="30E52918"/>
    <w:rsid w:val="30EF66A1"/>
    <w:rsid w:val="30F80FF0"/>
    <w:rsid w:val="31015A6E"/>
    <w:rsid w:val="310B3A83"/>
    <w:rsid w:val="31157494"/>
    <w:rsid w:val="31200A1B"/>
    <w:rsid w:val="313A6169"/>
    <w:rsid w:val="314C38B6"/>
    <w:rsid w:val="315E1E05"/>
    <w:rsid w:val="315F09BB"/>
    <w:rsid w:val="31717242"/>
    <w:rsid w:val="317F3B29"/>
    <w:rsid w:val="31853836"/>
    <w:rsid w:val="31915EB1"/>
    <w:rsid w:val="319F1D89"/>
    <w:rsid w:val="31B9703B"/>
    <w:rsid w:val="31C0200B"/>
    <w:rsid w:val="31CF2D03"/>
    <w:rsid w:val="31DB695A"/>
    <w:rsid w:val="31EA5447"/>
    <w:rsid w:val="32470AEB"/>
    <w:rsid w:val="324C089B"/>
    <w:rsid w:val="324C68DD"/>
    <w:rsid w:val="32510F6F"/>
    <w:rsid w:val="325447F1"/>
    <w:rsid w:val="32590B33"/>
    <w:rsid w:val="325A3C70"/>
    <w:rsid w:val="326042E7"/>
    <w:rsid w:val="327604FB"/>
    <w:rsid w:val="328251D1"/>
    <w:rsid w:val="32A510F7"/>
    <w:rsid w:val="32CB440F"/>
    <w:rsid w:val="32EC28E3"/>
    <w:rsid w:val="32F7668A"/>
    <w:rsid w:val="32FB3683"/>
    <w:rsid w:val="33265EB1"/>
    <w:rsid w:val="334D0383"/>
    <w:rsid w:val="334D3EDF"/>
    <w:rsid w:val="334D4B73"/>
    <w:rsid w:val="335C05C6"/>
    <w:rsid w:val="336851BD"/>
    <w:rsid w:val="338D077F"/>
    <w:rsid w:val="33B232B7"/>
    <w:rsid w:val="33B91F4C"/>
    <w:rsid w:val="33DF70AE"/>
    <w:rsid w:val="33E22E17"/>
    <w:rsid w:val="33E31EB4"/>
    <w:rsid w:val="33F62AEE"/>
    <w:rsid w:val="342C15DE"/>
    <w:rsid w:val="342D4181"/>
    <w:rsid w:val="34497D27"/>
    <w:rsid w:val="344E77C9"/>
    <w:rsid w:val="34533777"/>
    <w:rsid w:val="34742A8C"/>
    <w:rsid w:val="34A264AC"/>
    <w:rsid w:val="34A9783B"/>
    <w:rsid w:val="34AE6BFF"/>
    <w:rsid w:val="34D643A8"/>
    <w:rsid w:val="34DB7FBB"/>
    <w:rsid w:val="35011425"/>
    <w:rsid w:val="350A5F41"/>
    <w:rsid w:val="35355A03"/>
    <w:rsid w:val="353B650D"/>
    <w:rsid w:val="353D5303"/>
    <w:rsid w:val="355879C5"/>
    <w:rsid w:val="35685EFB"/>
    <w:rsid w:val="3571067D"/>
    <w:rsid w:val="35741EA9"/>
    <w:rsid w:val="35866FEE"/>
    <w:rsid w:val="3590706C"/>
    <w:rsid w:val="359E5D22"/>
    <w:rsid w:val="359E6C74"/>
    <w:rsid w:val="359F2B34"/>
    <w:rsid w:val="35EF54F1"/>
    <w:rsid w:val="35FB19DD"/>
    <w:rsid w:val="35FE3BB6"/>
    <w:rsid w:val="361E1B63"/>
    <w:rsid w:val="36267B40"/>
    <w:rsid w:val="36270A9E"/>
    <w:rsid w:val="36363FEF"/>
    <w:rsid w:val="36375D56"/>
    <w:rsid w:val="36462E68"/>
    <w:rsid w:val="36492153"/>
    <w:rsid w:val="36494389"/>
    <w:rsid w:val="364C4D3B"/>
    <w:rsid w:val="36605BC7"/>
    <w:rsid w:val="36617CA1"/>
    <w:rsid w:val="36632549"/>
    <w:rsid w:val="36713A10"/>
    <w:rsid w:val="36743E79"/>
    <w:rsid w:val="367479D5"/>
    <w:rsid w:val="368816D2"/>
    <w:rsid w:val="36890788"/>
    <w:rsid w:val="368F6DB0"/>
    <w:rsid w:val="36B41EBC"/>
    <w:rsid w:val="36D90296"/>
    <w:rsid w:val="36D93CDC"/>
    <w:rsid w:val="36E85542"/>
    <w:rsid w:val="36F66786"/>
    <w:rsid w:val="37127357"/>
    <w:rsid w:val="37184804"/>
    <w:rsid w:val="373C3D5D"/>
    <w:rsid w:val="373D426B"/>
    <w:rsid w:val="373F46A3"/>
    <w:rsid w:val="37406BE8"/>
    <w:rsid w:val="3784633D"/>
    <w:rsid w:val="379C514A"/>
    <w:rsid w:val="379F0A81"/>
    <w:rsid w:val="37B81B43"/>
    <w:rsid w:val="37E61F73"/>
    <w:rsid w:val="37EC6507"/>
    <w:rsid w:val="380454FC"/>
    <w:rsid w:val="380C01B0"/>
    <w:rsid w:val="38123949"/>
    <w:rsid w:val="38434DE2"/>
    <w:rsid w:val="384673CB"/>
    <w:rsid w:val="388A34DF"/>
    <w:rsid w:val="388D2FD0"/>
    <w:rsid w:val="3899376C"/>
    <w:rsid w:val="389A7E27"/>
    <w:rsid w:val="389C7553"/>
    <w:rsid w:val="38D12D00"/>
    <w:rsid w:val="38D429AD"/>
    <w:rsid w:val="390A6B77"/>
    <w:rsid w:val="39477622"/>
    <w:rsid w:val="395D72F1"/>
    <w:rsid w:val="399436D2"/>
    <w:rsid w:val="39975C4F"/>
    <w:rsid w:val="39BA405E"/>
    <w:rsid w:val="39C131B5"/>
    <w:rsid w:val="39DD136A"/>
    <w:rsid w:val="39F96B6F"/>
    <w:rsid w:val="3A2852BB"/>
    <w:rsid w:val="3A5244D1"/>
    <w:rsid w:val="3A6B2B99"/>
    <w:rsid w:val="3A6B7341"/>
    <w:rsid w:val="3A897B78"/>
    <w:rsid w:val="3A8F18EB"/>
    <w:rsid w:val="3AC32107"/>
    <w:rsid w:val="3AC442B6"/>
    <w:rsid w:val="3AD604B2"/>
    <w:rsid w:val="3ADE7B13"/>
    <w:rsid w:val="3AF51585"/>
    <w:rsid w:val="3AFE3976"/>
    <w:rsid w:val="3B181272"/>
    <w:rsid w:val="3B424545"/>
    <w:rsid w:val="3B46796D"/>
    <w:rsid w:val="3B4E433B"/>
    <w:rsid w:val="3B5C3425"/>
    <w:rsid w:val="3B5D3BE4"/>
    <w:rsid w:val="3B633697"/>
    <w:rsid w:val="3B806E1C"/>
    <w:rsid w:val="3B8C6F96"/>
    <w:rsid w:val="3B954675"/>
    <w:rsid w:val="3BBE70A5"/>
    <w:rsid w:val="3BD96239"/>
    <w:rsid w:val="3BFF2436"/>
    <w:rsid w:val="3C094C50"/>
    <w:rsid w:val="3C0B4937"/>
    <w:rsid w:val="3C1B03FB"/>
    <w:rsid w:val="3C270B87"/>
    <w:rsid w:val="3C2B6D87"/>
    <w:rsid w:val="3C5F350F"/>
    <w:rsid w:val="3C862210"/>
    <w:rsid w:val="3C8D17F0"/>
    <w:rsid w:val="3C9859BB"/>
    <w:rsid w:val="3CA05E24"/>
    <w:rsid w:val="3CC32560"/>
    <w:rsid w:val="3CCC056A"/>
    <w:rsid w:val="3D161B99"/>
    <w:rsid w:val="3D1768F0"/>
    <w:rsid w:val="3D1A35EA"/>
    <w:rsid w:val="3D2E6523"/>
    <w:rsid w:val="3D672041"/>
    <w:rsid w:val="3D8B68F1"/>
    <w:rsid w:val="3D927240"/>
    <w:rsid w:val="3D95265F"/>
    <w:rsid w:val="3D9848F1"/>
    <w:rsid w:val="3DA663C4"/>
    <w:rsid w:val="3DAE5EC2"/>
    <w:rsid w:val="3DBC57B5"/>
    <w:rsid w:val="3DCE24A8"/>
    <w:rsid w:val="3DD1395F"/>
    <w:rsid w:val="3DDE1DAD"/>
    <w:rsid w:val="3E1D0952"/>
    <w:rsid w:val="3E467EA9"/>
    <w:rsid w:val="3E470B05"/>
    <w:rsid w:val="3E5638B9"/>
    <w:rsid w:val="3E5D5396"/>
    <w:rsid w:val="3E6964DB"/>
    <w:rsid w:val="3E7B23ED"/>
    <w:rsid w:val="3E8945F0"/>
    <w:rsid w:val="3E944AFE"/>
    <w:rsid w:val="3EB145C7"/>
    <w:rsid w:val="3EBA2645"/>
    <w:rsid w:val="3EC3774B"/>
    <w:rsid w:val="3ECC0643"/>
    <w:rsid w:val="3EE6113C"/>
    <w:rsid w:val="3EEF0540"/>
    <w:rsid w:val="3F012A96"/>
    <w:rsid w:val="3F133A85"/>
    <w:rsid w:val="3F483869"/>
    <w:rsid w:val="3F661621"/>
    <w:rsid w:val="3F695128"/>
    <w:rsid w:val="3F753D18"/>
    <w:rsid w:val="3F930775"/>
    <w:rsid w:val="3F9B2F92"/>
    <w:rsid w:val="3FA41E9B"/>
    <w:rsid w:val="3FB5178A"/>
    <w:rsid w:val="3FC407B5"/>
    <w:rsid w:val="3FC47D32"/>
    <w:rsid w:val="3FD271A0"/>
    <w:rsid w:val="3FF658FE"/>
    <w:rsid w:val="40102054"/>
    <w:rsid w:val="40391A58"/>
    <w:rsid w:val="403D352D"/>
    <w:rsid w:val="4044560B"/>
    <w:rsid w:val="40516350"/>
    <w:rsid w:val="405745EF"/>
    <w:rsid w:val="40914749"/>
    <w:rsid w:val="40A74F20"/>
    <w:rsid w:val="40A83D8E"/>
    <w:rsid w:val="40A91F40"/>
    <w:rsid w:val="40B61873"/>
    <w:rsid w:val="40D341E5"/>
    <w:rsid w:val="40E01B42"/>
    <w:rsid w:val="40E63BC5"/>
    <w:rsid w:val="40E8793D"/>
    <w:rsid w:val="40F21AAA"/>
    <w:rsid w:val="410C1F33"/>
    <w:rsid w:val="41166258"/>
    <w:rsid w:val="412E67EE"/>
    <w:rsid w:val="413904B7"/>
    <w:rsid w:val="41515384"/>
    <w:rsid w:val="41801DE2"/>
    <w:rsid w:val="41894C7C"/>
    <w:rsid w:val="41AA074E"/>
    <w:rsid w:val="42156111"/>
    <w:rsid w:val="42291FBB"/>
    <w:rsid w:val="426A569C"/>
    <w:rsid w:val="428258FD"/>
    <w:rsid w:val="428A301F"/>
    <w:rsid w:val="428A3DC6"/>
    <w:rsid w:val="42990E8B"/>
    <w:rsid w:val="429C7D63"/>
    <w:rsid w:val="42B21FB1"/>
    <w:rsid w:val="42C83582"/>
    <w:rsid w:val="42CE66BF"/>
    <w:rsid w:val="42D96805"/>
    <w:rsid w:val="42DF20B9"/>
    <w:rsid w:val="430C59FD"/>
    <w:rsid w:val="43170066"/>
    <w:rsid w:val="4321151E"/>
    <w:rsid w:val="43212C92"/>
    <w:rsid w:val="432C7115"/>
    <w:rsid w:val="433A64B5"/>
    <w:rsid w:val="43446CBD"/>
    <w:rsid w:val="43554D70"/>
    <w:rsid w:val="435725A1"/>
    <w:rsid w:val="435A14A9"/>
    <w:rsid w:val="435A7156"/>
    <w:rsid w:val="4381111A"/>
    <w:rsid w:val="43AE638C"/>
    <w:rsid w:val="43B52366"/>
    <w:rsid w:val="43D84B60"/>
    <w:rsid w:val="43EA39CC"/>
    <w:rsid w:val="43F15AEC"/>
    <w:rsid w:val="440804CB"/>
    <w:rsid w:val="441404F5"/>
    <w:rsid w:val="441E5E65"/>
    <w:rsid w:val="442A5B77"/>
    <w:rsid w:val="444430DC"/>
    <w:rsid w:val="4451687F"/>
    <w:rsid w:val="445D7CFA"/>
    <w:rsid w:val="44630D8A"/>
    <w:rsid w:val="447F2366"/>
    <w:rsid w:val="44896D41"/>
    <w:rsid w:val="448E4357"/>
    <w:rsid w:val="44965591"/>
    <w:rsid w:val="44B111CA"/>
    <w:rsid w:val="44E56EC9"/>
    <w:rsid w:val="44F92119"/>
    <w:rsid w:val="450A3670"/>
    <w:rsid w:val="451B0980"/>
    <w:rsid w:val="45221CDC"/>
    <w:rsid w:val="45417763"/>
    <w:rsid w:val="456504A4"/>
    <w:rsid w:val="456A150E"/>
    <w:rsid w:val="458C1F06"/>
    <w:rsid w:val="45962FFB"/>
    <w:rsid w:val="4598077D"/>
    <w:rsid w:val="45A51535"/>
    <w:rsid w:val="45C81AEB"/>
    <w:rsid w:val="45F527D5"/>
    <w:rsid w:val="45F75F2C"/>
    <w:rsid w:val="45F823D0"/>
    <w:rsid w:val="461A2AB3"/>
    <w:rsid w:val="46364CA7"/>
    <w:rsid w:val="46726DE7"/>
    <w:rsid w:val="46804174"/>
    <w:rsid w:val="468A4BEC"/>
    <w:rsid w:val="46917F16"/>
    <w:rsid w:val="46965745"/>
    <w:rsid w:val="46A36564"/>
    <w:rsid w:val="46BA1BCF"/>
    <w:rsid w:val="46C93D6D"/>
    <w:rsid w:val="46D71FE6"/>
    <w:rsid w:val="46ED1809"/>
    <w:rsid w:val="46FC3CE9"/>
    <w:rsid w:val="471B36B5"/>
    <w:rsid w:val="47321B18"/>
    <w:rsid w:val="473F7B8B"/>
    <w:rsid w:val="475441CE"/>
    <w:rsid w:val="475C72FB"/>
    <w:rsid w:val="476067BD"/>
    <w:rsid w:val="47650B99"/>
    <w:rsid w:val="477B0B3C"/>
    <w:rsid w:val="478B23DE"/>
    <w:rsid w:val="478D2CB4"/>
    <w:rsid w:val="47AB60C7"/>
    <w:rsid w:val="47AF51C8"/>
    <w:rsid w:val="47F46BC7"/>
    <w:rsid w:val="48196B23"/>
    <w:rsid w:val="481E3C65"/>
    <w:rsid w:val="4820514C"/>
    <w:rsid w:val="48216379"/>
    <w:rsid w:val="482B4A2C"/>
    <w:rsid w:val="48390A7E"/>
    <w:rsid w:val="483A5C59"/>
    <w:rsid w:val="483E7E42"/>
    <w:rsid w:val="484A6380"/>
    <w:rsid w:val="485D476D"/>
    <w:rsid w:val="48744AA8"/>
    <w:rsid w:val="48861F15"/>
    <w:rsid w:val="48864BE0"/>
    <w:rsid w:val="48A44149"/>
    <w:rsid w:val="48A7484E"/>
    <w:rsid w:val="48B87E46"/>
    <w:rsid w:val="48C42A3E"/>
    <w:rsid w:val="48CA5B3A"/>
    <w:rsid w:val="48E629B4"/>
    <w:rsid w:val="48F409BD"/>
    <w:rsid w:val="48F5255C"/>
    <w:rsid w:val="48FF3A76"/>
    <w:rsid w:val="4907292A"/>
    <w:rsid w:val="490C05A8"/>
    <w:rsid w:val="493078C5"/>
    <w:rsid w:val="493F0316"/>
    <w:rsid w:val="493F76C8"/>
    <w:rsid w:val="495A0CAC"/>
    <w:rsid w:val="495D66FF"/>
    <w:rsid w:val="495D7B3E"/>
    <w:rsid w:val="49774158"/>
    <w:rsid w:val="499A72FA"/>
    <w:rsid w:val="49B524CE"/>
    <w:rsid w:val="49B9400E"/>
    <w:rsid w:val="49BC68BE"/>
    <w:rsid w:val="49BF30B5"/>
    <w:rsid w:val="49C6736D"/>
    <w:rsid w:val="49D55BA7"/>
    <w:rsid w:val="49D6392E"/>
    <w:rsid w:val="49E30A16"/>
    <w:rsid w:val="49F64E79"/>
    <w:rsid w:val="4A0C3FEF"/>
    <w:rsid w:val="4A173622"/>
    <w:rsid w:val="4A286FFC"/>
    <w:rsid w:val="4A315EB1"/>
    <w:rsid w:val="4A3459A1"/>
    <w:rsid w:val="4A4142DC"/>
    <w:rsid w:val="4A623049"/>
    <w:rsid w:val="4A6A13C3"/>
    <w:rsid w:val="4A800BE6"/>
    <w:rsid w:val="4A87620D"/>
    <w:rsid w:val="4AEF0EB8"/>
    <w:rsid w:val="4B1D7294"/>
    <w:rsid w:val="4B4B748E"/>
    <w:rsid w:val="4B670B02"/>
    <w:rsid w:val="4B6F69AD"/>
    <w:rsid w:val="4BA07CD0"/>
    <w:rsid w:val="4BA62E09"/>
    <w:rsid w:val="4BB739C1"/>
    <w:rsid w:val="4BC64F25"/>
    <w:rsid w:val="4BC95A65"/>
    <w:rsid w:val="4BCE772F"/>
    <w:rsid w:val="4BDC2D24"/>
    <w:rsid w:val="4BE31185"/>
    <w:rsid w:val="4C0E34FC"/>
    <w:rsid w:val="4C0F07B7"/>
    <w:rsid w:val="4C2F5134"/>
    <w:rsid w:val="4C325F10"/>
    <w:rsid w:val="4C3F0075"/>
    <w:rsid w:val="4C4874E2"/>
    <w:rsid w:val="4C4F2AB0"/>
    <w:rsid w:val="4C5D11DF"/>
    <w:rsid w:val="4C814BCE"/>
    <w:rsid w:val="4C903B1D"/>
    <w:rsid w:val="4CA034BC"/>
    <w:rsid w:val="4CC017AB"/>
    <w:rsid w:val="4D007DBC"/>
    <w:rsid w:val="4D1442A5"/>
    <w:rsid w:val="4D167942"/>
    <w:rsid w:val="4D19039B"/>
    <w:rsid w:val="4D1A2C2C"/>
    <w:rsid w:val="4D253065"/>
    <w:rsid w:val="4D265A75"/>
    <w:rsid w:val="4D2C3904"/>
    <w:rsid w:val="4D36558C"/>
    <w:rsid w:val="4D386F9E"/>
    <w:rsid w:val="4D41465D"/>
    <w:rsid w:val="4D422183"/>
    <w:rsid w:val="4D583754"/>
    <w:rsid w:val="4D8056CB"/>
    <w:rsid w:val="4D860057"/>
    <w:rsid w:val="4DAF5285"/>
    <w:rsid w:val="4DB7491F"/>
    <w:rsid w:val="4DD74FC1"/>
    <w:rsid w:val="4DDE1EAC"/>
    <w:rsid w:val="4DE96C85"/>
    <w:rsid w:val="4DF0307F"/>
    <w:rsid w:val="4E0C0BD4"/>
    <w:rsid w:val="4E2F3962"/>
    <w:rsid w:val="4E610F19"/>
    <w:rsid w:val="4E7F1A99"/>
    <w:rsid w:val="4E964534"/>
    <w:rsid w:val="4EA30A98"/>
    <w:rsid w:val="4EBC4E46"/>
    <w:rsid w:val="4ED07F8A"/>
    <w:rsid w:val="4F1503EB"/>
    <w:rsid w:val="4F22401A"/>
    <w:rsid w:val="4F2D6722"/>
    <w:rsid w:val="4F387A7A"/>
    <w:rsid w:val="4F53428E"/>
    <w:rsid w:val="4F5A1D04"/>
    <w:rsid w:val="4F7D74A2"/>
    <w:rsid w:val="4F8A385D"/>
    <w:rsid w:val="4F9B0FDE"/>
    <w:rsid w:val="4FB010C7"/>
    <w:rsid w:val="4FC11FFF"/>
    <w:rsid w:val="4FD76827"/>
    <w:rsid w:val="4FDA6C5E"/>
    <w:rsid w:val="4FDE7696"/>
    <w:rsid w:val="500B0F52"/>
    <w:rsid w:val="50197D53"/>
    <w:rsid w:val="502E4997"/>
    <w:rsid w:val="50416722"/>
    <w:rsid w:val="5043117B"/>
    <w:rsid w:val="504F0E3F"/>
    <w:rsid w:val="5079410E"/>
    <w:rsid w:val="507B60D8"/>
    <w:rsid w:val="50924920"/>
    <w:rsid w:val="5094134D"/>
    <w:rsid w:val="509A59E8"/>
    <w:rsid w:val="509B0528"/>
    <w:rsid w:val="50C050D6"/>
    <w:rsid w:val="50DB448D"/>
    <w:rsid w:val="50DD28EE"/>
    <w:rsid w:val="50EF617E"/>
    <w:rsid w:val="512439E3"/>
    <w:rsid w:val="512C5624"/>
    <w:rsid w:val="513A1AEF"/>
    <w:rsid w:val="51484888"/>
    <w:rsid w:val="517D38C1"/>
    <w:rsid w:val="518B6028"/>
    <w:rsid w:val="51955765"/>
    <w:rsid w:val="51B55619"/>
    <w:rsid w:val="51C03390"/>
    <w:rsid w:val="51C30881"/>
    <w:rsid w:val="51D4516C"/>
    <w:rsid w:val="51F31FFB"/>
    <w:rsid w:val="520470E0"/>
    <w:rsid w:val="520E4D2A"/>
    <w:rsid w:val="524E3378"/>
    <w:rsid w:val="52952D55"/>
    <w:rsid w:val="52992845"/>
    <w:rsid w:val="529F6F42"/>
    <w:rsid w:val="52AB0355"/>
    <w:rsid w:val="52BB3073"/>
    <w:rsid w:val="52D95337"/>
    <w:rsid w:val="530D2305"/>
    <w:rsid w:val="53121138"/>
    <w:rsid w:val="531627AA"/>
    <w:rsid w:val="531C6FD2"/>
    <w:rsid w:val="532D533B"/>
    <w:rsid w:val="535844AE"/>
    <w:rsid w:val="535B7AFB"/>
    <w:rsid w:val="53604C2F"/>
    <w:rsid w:val="536A3A27"/>
    <w:rsid w:val="53874076"/>
    <w:rsid w:val="538A6632"/>
    <w:rsid w:val="538C5F06"/>
    <w:rsid w:val="538F7F2C"/>
    <w:rsid w:val="53A722AD"/>
    <w:rsid w:val="53B5286C"/>
    <w:rsid w:val="53BC7A37"/>
    <w:rsid w:val="53CE3EC7"/>
    <w:rsid w:val="5415227F"/>
    <w:rsid w:val="541F1DAD"/>
    <w:rsid w:val="5430572D"/>
    <w:rsid w:val="54322298"/>
    <w:rsid w:val="54336E15"/>
    <w:rsid w:val="54380447"/>
    <w:rsid w:val="548D6236"/>
    <w:rsid w:val="549A35B5"/>
    <w:rsid w:val="54D47189"/>
    <w:rsid w:val="550017B0"/>
    <w:rsid w:val="5520724E"/>
    <w:rsid w:val="552276FE"/>
    <w:rsid w:val="5533734C"/>
    <w:rsid w:val="553C1544"/>
    <w:rsid w:val="553C1C95"/>
    <w:rsid w:val="55473E78"/>
    <w:rsid w:val="555C0208"/>
    <w:rsid w:val="55637A11"/>
    <w:rsid w:val="557135FE"/>
    <w:rsid w:val="55794BB0"/>
    <w:rsid w:val="55925D1D"/>
    <w:rsid w:val="55B300C2"/>
    <w:rsid w:val="55B81234"/>
    <w:rsid w:val="55D102A5"/>
    <w:rsid w:val="55D231E5"/>
    <w:rsid w:val="55D32512"/>
    <w:rsid w:val="55D50038"/>
    <w:rsid w:val="55F84A4B"/>
    <w:rsid w:val="55FD3626"/>
    <w:rsid w:val="563015F5"/>
    <w:rsid w:val="564C744C"/>
    <w:rsid w:val="564E7DEA"/>
    <w:rsid w:val="566903DB"/>
    <w:rsid w:val="567151AA"/>
    <w:rsid w:val="568A5867"/>
    <w:rsid w:val="56A874FB"/>
    <w:rsid w:val="56C04324"/>
    <w:rsid w:val="56C65BD3"/>
    <w:rsid w:val="56DD18C2"/>
    <w:rsid w:val="56FF33EE"/>
    <w:rsid w:val="571D00BA"/>
    <w:rsid w:val="5729778D"/>
    <w:rsid w:val="57330F99"/>
    <w:rsid w:val="57554FE9"/>
    <w:rsid w:val="57786C36"/>
    <w:rsid w:val="577928CC"/>
    <w:rsid w:val="578B2EF1"/>
    <w:rsid w:val="578F6397"/>
    <w:rsid w:val="579B2A9A"/>
    <w:rsid w:val="57AA0DFE"/>
    <w:rsid w:val="57CC4F2E"/>
    <w:rsid w:val="57D936E4"/>
    <w:rsid w:val="57DB13D1"/>
    <w:rsid w:val="57E03BD0"/>
    <w:rsid w:val="57E252F0"/>
    <w:rsid w:val="57EF1159"/>
    <w:rsid w:val="57F329F7"/>
    <w:rsid w:val="580239A1"/>
    <w:rsid w:val="583D33C0"/>
    <w:rsid w:val="58683BC3"/>
    <w:rsid w:val="58847722"/>
    <w:rsid w:val="58883F2F"/>
    <w:rsid w:val="589B1CC7"/>
    <w:rsid w:val="589D1A2B"/>
    <w:rsid w:val="58B54185"/>
    <w:rsid w:val="58BF1981"/>
    <w:rsid w:val="58DE50A6"/>
    <w:rsid w:val="58E54F31"/>
    <w:rsid w:val="58F76517"/>
    <w:rsid w:val="58FC4C45"/>
    <w:rsid w:val="58FF201C"/>
    <w:rsid w:val="591A5BE0"/>
    <w:rsid w:val="59217D7A"/>
    <w:rsid w:val="594C2116"/>
    <w:rsid w:val="59515641"/>
    <w:rsid w:val="59637709"/>
    <w:rsid w:val="596746B3"/>
    <w:rsid w:val="597822C8"/>
    <w:rsid w:val="597F31B6"/>
    <w:rsid w:val="5980650D"/>
    <w:rsid w:val="59861538"/>
    <w:rsid w:val="598A015B"/>
    <w:rsid w:val="598C3197"/>
    <w:rsid w:val="59B54109"/>
    <w:rsid w:val="59B67FCD"/>
    <w:rsid w:val="59BC3650"/>
    <w:rsid w:val="59C6393F"/>
    <w:rsid w:val="59D4110B"/>
    <w:rsid w:val="59ED58D3"/>
    <w:rsid w:val="59EE1D15"/>
    <w:rsid w:val="5A045295"/>
    <w:rsid w:val="5A0E58C7"/>
    <w:rsid w:val="5A5E465E"/>
    <w:rsid w:val="5A6000EC"/>
    <w:rsid w:val="5A6202C7"/>
    <w:rsid w:val="5A656519"/>
    <w:rsid w:val="5A717F54"/>
    <w:rsid w:val="5A731BCE"/>
    <w:rsid w:val="5A7B0847"/>
    <w:rsid w:val="5A81679B"/>
    <w:rsid w:val="5A8557D0"/>
    <w:rsid w:val="5A8E1CEA"/>
    <w:rsid w:val="5A987886"/>
    <w:rsid w:val="5AB67D7F"/>
    <w:rsid w:val="5AC465E0"/>
    <w:rsid w:val="5AE359FA"/>
    <w:rsid w:val="5AE8624D"/>
    <w:rsid w:val="5AE91E90"/>
    <w:rsid w:val="5AEB3E5A"/>
    <w:rsid w:val="5AF67B2C"/>
    <w:rsid w:val="5B0E28CB"/>
    <w:rsid w:val="5B127349"/>
    <w:rsid w:val="5B156152"/>
    <w:rsid w:val="5B20105C"/>
    <w:rsid w:val="5B266C40"/>
    <w:rsid w:val="5B3550D5"/>
    <w:rsid w:val="5B433C96"/>
    <w:rsid w:val="5B86309B"/>
    <w:rsid w:val="5B9B13DC"/>
    <w:rsid w:val="5BA81F6B"/>
    <w:rsid w:val="5BB22BCA"/>
    <w:rsid w:val="5BB46942"/>
    <w:rsid w:val="5BC76D3F"/>
    <w:rsid w:val="5BC85F49"/>
    <w:rsid w:val="5BCC2246"/>
    <w:rsid w:val="5BE80399"/>
    <w:rsid w:val="5BFE2871"/>
    <w:rsid w:val="5C164F06"/>
    <w:rsid w:val="5C25339C"/>
    <w:rsid w:val="5C270EC2"/>
    <w:rsid w:val="5C2F5FC8"/>
    <w:rsid w:val="5C3355F7"/>
    <w:rsid w:val="5C3A2476"/>
    <w:rsid w:val="5C411BA8"/>
    <w:rsid w:val="5C537F09"/>
    <w:rsid w:val="5C5617A7"/>
    <w:rsid w:val="5C69772C"/>
    <w:rsid w:val="5C8370DF"/>
    <w:rsid w:val="5C854E03"/>
    <w:rsid w:val="5C867CC5"/>
    <w:rsid w:val="5C9B567B"/>
    <w:rsid w:val="5CC34D70"/>
    <w:rsid w:val="5CC36294"/>
    <w:rsid w:val="5CC43E95"/>
    <w:rsid w:val="5CC84515"/>
    <w:rsid w:val="5D047455"/>
    <w:rsid w:val="5D0B7F00"/>
    <w:rsid w:val="5D104363"/>
    <w:rsid w:val="5D262BB7"/>
    <w:rsid w:val="5D2B6790"/>
    <w:rsid w:val="5D5A52C7"/>
    <w:rsid w:val="5D5D033B"/>
    <w:rsid w:val="5D5D6660"/>
    <w:rsid w:val="5D685645"/>
    <w:rsid w:val="5D7653AB"/>
    <w:rsid w:val="5D9A196D"/>
    <w:rsid w:val="5D9E6676"/>
    <w:rsid w:val="5DA30A1C"/>
    <w:rsid w:val="5DA327CA"/>
    <w:rsid w:val="5DA6559F"/>
    <w:rsid w:val="5DAA448C"/>
    <w:rsid w:val="5DC0337C"/>
    <w:rsid w:val="5DDA257C"/>
    <w:rsid w:val="5E08087F"/>
    <w:rsid w:val="5E1B6804"/>
    <w:rsid w:val="5E2C6C63"/>
    <w:rsid w:val="5E3C09B0"/>
    <w:rsid w:val="5E5416A1"/>
    <w:rsid w:val="5E631301"/>
    <w:rsid w:val="5E631F59"/>
    <w:rsid w:val="5E6D4B86"/>
    <w:rsid w:val="5E816FDD"/>
    <w:rsid w:val="5E930114"/>
    <w:rsid w:val="5EDD3F73"/>
    <w:rsid w:val="5EF20623"/>
    <w:rsid w:val="5F033A5D"/>
    <w:rsid w:val="5F046CF9"/>
    <w:rsid w:val="5F11429A"/>
    <w:rsid w:val="5F1D2E7B"/>
    <w:rsid w:val="5F3128C9"/>
    <w:rsid w:val="5F441643"/>
    <w:rsid w:val="5F48187B"/>
    <w:rsid w:val="5F6661A5"/>
    <w:rsid w:val="5F726518"/>
    <w:rsid w:val="5F7E6967"/>
    <w:rsid w:val="5F906D7E"/>
    <w:rsid w:val="5FA16C56"/>
    <w:rsid w:val="5FA85086"/>
    <w:rsid w:val="5FB763F1"/>
    <w:rsid w:val="5FD31A80"/>
    <w:rsid w:val="5FDF4A74"/>
    <w:rsid w:val="600A38BD"/>
    <w:rsid w:val="6014175D"/>
    <w:rsid w:val="60371E60"/>
    <w:rsid w:val="60477A6E"/>
    <w:rsid w:val="605B55DE"/>
    <w:rsid w:val="6061371C"/>
    <w:rsid w:val="607D1456"/>
    <w:rsid w:val="607F3A87"/>
    <w:rsid w:val="60903494"/>
    <w:rsid w:val="60CB162F"/>
    <w:rsid w:val="60D20B0A"/>
    <w:rsid w:val="60D35170"/>
    <w:rsid w:val="60DD30B1"/>
    <w:rsid w:val="60F11E42"/>
    <w:rsid w:val="60FE25E7"/>
    <w:rsid w:val="61012423"/>
    <w:rsid w:val="61027671"/>
    <w:rsid w:val="61072042"/>
    <w:rsid w:val="612A49D6"/>
    <w:rsid w:val="61497B2C"/>
    <w:rsid w:val="616F1F6E"/>
    <w:rsid w:val="6170330B"/>
    <w:rsid w:val="6171498D"/>
    <w:rsid w:val="61A82BC6"/>
    <w:rsid w:val="61B22911"/>
    <w:rsid w:val="61B34FA6"/>
    <w:rsid w:val="61BC02FE"/>
    <w:rsid w:val="61BC79B7"/>
    <w:rsid w:val="61BE2520"/>
    <w:rsid w:val="61CF077E"/>
    <w:rsid w:val="61E566B9"/>
    <w:rsid w:val="61F636C4"/>
    <w:rsid w:val="62051CA5"/>
    <w:rsid w:val="621A0F33"/>
    <w:rsid w:val="622540F5"/>
    <w:rsid w:val="62B749A1"/>
    <w:rsid w:val="62D524B3"/>
    <w:rsid w:val="62E25B42"/>
    <w:rsid w:val="630C7132"/>
    <w:rsid w:val="63190B09"/>
    <w:rsid w:val="631F0B45"/>
    <w:rsid w:val="633E40B5"/>
    <w:rsid w:val="634B3AE7"/>
    <w:rsid w:val="63612F0B"/>
    <w:rsid w:val="636703F6"/>
    <w:rsid w:val="637B1618"/>
    <w:rsid w:val="637D5D46"/>
    <w:rsid w:val="637E5499"/>
    <w:rsid w:val="637F7835"/>
    <w:rsid w:val="63952AAC"/>
    <w:rsid w:val="639A641D"/>
    <w:rsid w:val="63B10C53"/>
    <w:rsid w:val="63BA261B"/>
    <w:rsid w:val="63C61514"/>
    <w:rsid w:val="63D4042E"/>
    <w:rsid w:val="640E4F6F"/>
    <w:rsid w:val="641066DF"/>
    <w:rsid w:val="64183E80"/>
    <w:rsid w:val="641A5754"/>
    <w:rsid w:val="641A755E"/>
    <w:rsid w:val="641C32D6"/>
    <w:rsid w:val="64213A33"/>
    <w:rsid w:val="64287ECD"/>
    <w:rsid w:val="642C1715"/>
    <w:rsid w:val="64506B1E"/>
    <w:rsid w:val="6469701B"/>
    <w:rsid w:val="648D1ADE"/>
    <w:rsid w:val="64B452BD"/>
    <w:rsid w:val="64B82FFF"/>
    <w:rsid w:val="64CC2A37"/>
    <w:rsid w:val="64E53367"/>
    <w:rsid w:val="64E8010F"/>
    <w:rsid w:val="64ED30F3"/>
    <w:rsid w:val="64F66EBB"/>
    <w:rsid w:val="65105E90"/>
    <w:rsid w:val="6522414A"/>
    <w:rsid w:val="65310E26"/>
    <w:rsid w:val="654F7238"/>
    <w:rsid w:val="65623C4A"/>
    <w:rsid w:val="65693991"/>
    <w:rsid w:val="656C3DE9"/>
    <w:rsid w:val="656D37B1"/>
    <w:rsid w:val="656F1260"/>
    <w:rsid w:val="6573240E"/>
    <w:rsid w:val="658F7E46"/>
    <w:rsid w:val="65BB7B8B"/>
    <w:rsid w:val="65D8478F"/>
    <w:rsid w:val="65DD0843"/>
    <w:rsid w:val="65EB6196"/>
    <w:rsid w:val="66122BBC"/>
    <w:rsid w:val="66205B90"/>
    <w:rsid w:val="66264AE6"/>
    <w:rsid w:val="662F729B"/>
    <w:rsid w:val="66430FEE"/>
    <w:rsid w:val="664F7993"/>
    <w:rsid w:val="665D4746"/>
    <w:rsid w:val="66955165"/>
    <w:rsid w:val="66A6332B"/>
    <w:rsid w:val="66A865D3"/>
    <w:rsid w:val="66B15F58"/>
    <w:rsid w:val="66E56677"/>
    <w:rsid w:val="670A1811"/>
    <w:rsid w:val="670A5668"/>
    <w:rsid w:val="672A5B7A"/>
    <w:rsid w:val="673F51E4"/>
    <w:rsid w:val="675114E9"/>
    <w:rsid w:val="676377C2"/>
    <w:rsid w:val="677700BB"/>
    <w:rsid w:val="67A76058"/>
    <w:rsid w:val="67BA708E"/>
    <w:rsid w:val="67D91316"/>
    <w:rsid w:val="67DD03AF"/>
    <w:rsid w:val="67DD212F"/>
    <w:rsid w:val="67DD73C6"/>
    <w:rsid w:val="67E10ABE"/>
    <w:rsid w:val="67F971AD"/>
    <w:rsid w:val="6803795C"/>
    <w:rsid w:val="68071BA7"/>
    <w:rsid w:val="681A5D7E"/>
    <w:rsid w:val="6839474F"/>
    <w:rsid w:val="68892386"/>
    <w:rsid w:val="688B0321"/>
    <w:rsid w:val="689A0C6D"/>
    <w:rsid w:val="68AA7102"/>
    <w:rsid w:val="68AB2361"/>
    <w:rsid w:val="68D67EF7"/>
    <w:rsid w:val="68F16ADF"/>
    <w:rsid w:val="68F63364"/>
    <w:rsid w:val="692B43DE"/>
    <w:rsid w:val="69313380"/>
    <w:rsid w:val="69951A33"/>
    <w:rsid w:val="69A200AE"/>
    <w:rsid w:val="69CF0722"/>
    <w:rsid w:val="69D0701B"/>
    <w:rsid w:val="69ED2126"/>
    <w:rsid w:val="69FD3262"/>
    <w:rsid w:val="6A072D8D"/>
    <w:rsid w:val="6A074A72"/>
    <w:rsid w:val="6A10568B"/>
    <w:rsid w:val="6A1A3E14"/>
    <w:rsid w:val="6A220F1A"/>
    <w:rsid w:val="6A2C4D50"/>
    <w:rsid w:val="6A327846"/>
    <w:rsid w:val="6A3F387A"/>
    <w:rsid w:val="6A4F3C09"/>
    <w:rsid w:val="6A527A52"/>
    <w:rsid w:val="6A7B25F3"/>
    <w:rsid w:val="6A7F011B"/>
    <w:rsid w:val="6AAF57BB"/>
    <w:rsid w:val="6AB23D97"/>
    <w:rsid w:val="6AB51E3F"/>
    <w:rsid w:val="6ACD71EB"/>
    <w:rsid w:val="6AE27D0F"/>
    <w:rsid w:val="6B1378B5"/>
    <w:rsid w:val="6B165650"/>
    <w:rsid w:val="6B2968F7"/>
    <w:rsid w:val="6B2A5994"/>
    <w:rsid w:val="6B353241"/>
    <w:rsid w:val="6B7F1EA3"/>
    <w:rsid w:val="6BA240C1"/>
    <w:rsid w:val="6BBB0FCC"/>
    <w:rsid w:val="6BF16DF6"/>
    <w:rsid w:val="6C030941"/>
    <w:rsid w:val="6C060AF4"/>
    <w:rsid w:val="6C197051"/>
    <w:rsid w:val="6C255150"/>
    <w:rsid w:val="6C3D028D"/>
    <w:rsid w:val="6C4046DD"/>
    <w:rsid w:val="6C474208"/>
    <w:rsid w:val="6C4823EA"/>
    <w:rsid w:val="6C501D6F"/>
    <w:rsid w:val="6C506213"/>
    <w:rsid w:val="6C6E7C47"/>
    <w:rsid w:val="6C7672FB"/>
    <w:rsid w:val="6C7C1180"/>
    <w:rsid w:val="6C8B25BF"/>
    <w:rsid w:val="6C922387"/>
    <w:rsid w:val="6C932FB9"/>
    <w:rsid w:val="6CA247C8"/>
    <w:rsid w:val="6CBF1AC9"/>
    <w:rsid w:val="6CC8517E"/>
    <w:rsid w:val="6CCE577C"/>
    <w:rsid w:val="6CD5002F"/>
    <w:rsid w:val="6CD75FEC"/>
    <w:rsid w:val="6CE4167D"/>
    <w:rsid w:val="6CE65AB8"/>
    <w:rsid w:val="6CEA7A1B"/>
    <w:rsid w:val="6CFA1EAB"/>
    <w:rsid w:val="6D0843F7"/>
    <w:rsid w:val="6D4C44E9"/>
    <w:rsid w:val="6D747CDF"/>
    <w:rsid w:val="6D82064E"/>
    <w:rsid w:val="6D9914F3"/>
    <w:rsid w:val="6DB4611F"/>
    <w:rsid w:val="6DEB6993"/>
    <w:rsid w:val="6DEB78FE"/>
    <w:rsid w:val="6DED2362"/>
    <w:rsid w:val="6DF25F3D"/>
    <w:rsid w:val="6E071CA7"/>
    <w:rsid w:val="6E094833"/>
    <w:rsid w:val="6E120F64"/>
    <w:rsid w:val="6E1374F8"/>
    <w:rsid w:val="6E6224D9"/>
    <w:rsid w:val="6E6762E9"/>
    <w:rsid w:val="6E8B2698"/>
    <w:rsid w:val="6E946C94"/>
    <w:rsid w:val="6EC151A6"/>
    <w:rsid w:val="6F0A731D"/>
    <w:rsid w:val="6F0F4163"/>
    <w:rsid w:val="6F280D81"/>
    <w:rsid w:val="6F2D1DE0"/>
    <w:rsid w:val="6F2D6397"/>
    <w:rsid w:val="6F365E1C"/>
    <w:rsid w:val="6F410196"/>
    <w:rsid w:val="6F5B5767"/>
    <w:rsid w:val="6F5F03D4"/>
    <w:rsid w:val="6F9F7B2E"/>
    <w:rsid w:val="6FC73E3A"/>
    <w:rsid w:val="6FF4607D"/>
    <w:rsid w:val="6FFD045F"/>
    <w:rsid w:val="70003A0E"/>
    <w:rsid w:val="70044037"/>
    <w:rsid w:val="70064D9E"/>
    <w:rsid w:val="70187047"/>
    <w:rsid w:val="703379DD"/>
    <w:rsid w:val="704B11CB"/>
    <w:rsid w:val="704C0A9F"/>
    <w:rsid w:val="706157ED"/>
    <w:rsid w:val="70657DB3"/>
    <w:rsid w:val="70694748"/>
    <w:rsid w:val="707B75D6"/>
    <w:rsid w:val="708E730A"/>
    <w:rsid w:val="70931138"/>
    <w:rsid w:val="70AC5B69"/>
    <w:rsid w:val="70AF2468"/>
    <w:rsid w:val="70C2704E"/>
    <w:rsid w:val="70C76378"/>
    <w:rsid w:val="70D53553"/>
    <w:rsid w:val="70E433CD"/>
    <w:rsid w:val="70F116CB"/>
    <w:rsid w:val="70FC0717"/>
    <w:rsid w:val="710E636D"/>
    <w:rsid w:val="71461992"/>
    <w:rsid w:val="71467A72"/>
    <w:rsid w:val="715220E5"/>
    <w:rsid w:val="71551866"/>
    <w:rsid w:val="716709D5"/>
    <w:rsid w:val="717946F8"/>
    <w:rsid w:val="717F5F7A"/>
    <w:rsid w:val="71812492"/>
    <w:rsid w:val="718524BB"/>
    <w:rsid w:val="71AB5C99"/>
    <w:rsid w:val="71AD31EB"/>
    <w:rsid w:val="71B303F4"/>
    <w:rsid w:val="71C54519"/>
    <w:rsid w:val="71D85727"/>
    <w:rsid w:val="71DF766A"/>
    <w:rsid w:val="71E80C9B"/>
    <w:rsid w:val="720F0649"/>
    <w:rsid w:val="72186B9B"/>
    <w:rsid w:val="7219387A"/>
    <w:rsid w:val="721B4BCD"/>
    <w:rsid w:val="722133BC"/>
    <w:rsid w:val="7228274E"/>
    <w:rsid w:val="7243340D"/>
    <w:rsid w:val="72563BFF"/>
    <w:rsid w:val="726E2F4F"/>
    <w:rsid w:val="727E6B0B"/>
    <w:rsid w:val="72995FF8"/>
    <w:rsid w:val="72B15531"/>
    <w:rsid w:val="72B83626"/>
    <w:rsid w:val="72DC4E4C"/>
    <w:rsid w:val="72E079C4"/>
    <w:rsid w:val="73055526"/>
    <w:rsid w:val="73092C77"/>
    <w:rsid w:val="731B04C8"/>
    <w:rsid w:val="73375A36"/>
    <w:rsid w:val="734F413E"/>
    <w:rsid w:val="735D50CC"/>
    <w:rsid w:val="7367613B"/>
    <w:rsid w:val="73807BB1"/>
    <w:rsid w:val="73916F0B"/>
    <w:rsid w:val="739F6FC8"/>
    <w:rsid w:val="73A330CC"/>
    <w:rsid w:val="73AE7220"/>
    <w:rsid w:val="73D3620F"/>
    <w:rsid w:val="73D47EE2"/>
    <w:rsid w:val="73E21E46"/>
    <w:rsid w:val="74081181"/>
    <w:rsid w:val="741D45F0"/>
    <w:rsid w:val="74367E68"/>
    <w:rsid w:val="743B33FB"/>
    <w:rsid w:val="7441037B"/>
    <w:rsid w:val="745E6FF3"/>
    <w:rsid w:val="74777BC4"/>
    <w:rsid w:val="747F58E7"/>
    <w:rsid w:val="74CB0B2C"/>
    <w:rsid w:val="74CB6502"/>
    <w:rsid w:val="74D120CE"/>
    <w:rsid w:val="74DE1AB1"/>
    <w:rsid w:val="74FA75E3"/>
    <w:rsid w:val="752B3379"/>
    <w:rsid w:val="755D0CB2"/>
    <w:rsid w:val="758646C2"/>
    <w:rsid w:val="759153D6"/>
    <w:rsid w:val="75BA294F"/>
    <w:rsid w:val="75C851C8"/>
    <w:rsid w:val="75CA1ADA"/>
    <w:rsid w:val="75D02172"/>
    <w:rsid w:val="75E86FC4"/>
    <w:rsid w:val="760C31AA"/>
    <w:rsid w:val="76175A6E"/>
    <w:rsid w:val="76197675"/>
    <w:rsid w:val="762B5982"/>
    <w:rsid w:val="763C59E5"/>
    <w:rsid w:val="764D505D"/>
    <w:rsid w:val="76542471"/>
    <w:rsid w:val="76576D27"/>
    <w:rsid w:val="766052A4"/>
    <w:rsid w:val="768A574F"/>
    <w:rsid w:val="768B09FE"/>
    <w:rsid w:val="76962A74"/>
    <w:rsid w:val="769715E0"/>
    <w:rsid w:val="76A159CD"/>
    <w:rsid w:val="76B949B4"/>
    <w:rsid w:val="76BC2512"/>
    <w:rsid w:val="76BC7CCD"/>
    <w:rsid w:val="76DA7B09"/>
    <w:rsid w:val="77110554"/>
    <w:rsid w:val="774279C4"/>
    <w:rsid w:val="77477865"/>
    <w:rsid w:val="774A34BA"/>
    <w:rsid w:val="775841CD"/>
    <w:rsid w:val="776E05AF"/>
    <w:rsid w:val="7771068C"/>
    <w:rsid w:val="77905D1A"/>
    <w:rsid w:val="779F50A1"/>
    <w:rsid w:val="77BF5C0D"/>
    <w:rsid w:val="77D66EED"/>
    <w:rsid w:val="77DB744B"/>
    <w:rsid w:val="77DD3684"/>
    <w:rsid w:val="77E141C3"/>
    <w:rsid w:val="77E52C3C"/>
    <w:rsid w:val="77F739E6"/>
    <w:rsid w:val="7808174F"/>
    <w:rsid w:val="780D320A"/>
    <w:rsid w:val="780F0D30"/>
    <w:rsid w:val="78197E01"/>
    <w:rsid w:val="78776AC4"/>
    <w:rsid w:val="78825C26"/>
    <w:rsid w:val="78830BDE"/>
    <w:rsid w:val="78BE16CF"/>
    <w:rsid w:val="78C8071E"/>
    <w:rsid w:val="78D12FC9"/>
    <w:rsid w:val="78D75B36"/>
    <w:rsid w:val="78D855C6"/>
    <w:rsid w:val="78DA2BF0"/>
    <w:rsid w:val="78DE1E21"/>
    <w:rsid w:val="78F85C68"/>
    <w:rsid w:val="79055E20"/>
    <w:rsid w:val="79062EC2"/>
    <w:rsid w:val="79157357"/>
    <w:rsid w:val="79166583"/>
    <w:rsid w:val="79501BB1"/>
    <w:rsid w:val="79556C16"/>
    <w:rsid w:val="797F5023"/>
    <w:rsid w:val="79854AB3"/>
    <w:rsid w:val="79A8143C"/>
    <w:rsid w:val="79AB7DDC"/>
    <w:rsid w:val="79B871A5"/>
    <w:rsid w:val="79D12DB4"/>
    <w:rsid w:val="79D74AC1"/>
    <w:rsid w:val="79E007A3"/>
    <w:rsid w:val="79E42378"/>
    <w:rsid w:val="79F276B8"/>
    <w:rsid w:val="7A0F3269"/>
    <w:rsid w:val="7A1A19DD"/>
    <w:rsid w:val="7A3B4196"/>
    <w:rsid w:val="7A3D5C5B"/>
    <w:rsid w:val="7A4E3F43"/>
    <w:rsid w:val="7A4F7B0A"/>
    <w:rsid w:val="7A9338E9"/>
    <w:rsid w:val="7AB0592C"/>
    <w:rsid w:val="7ABB0CFB"/>
    <w:rsid w:val="7AC6578E"/>
    <w:rsid w:val="7AD51F08"/>
    <w:rsid w:val="7AEA6D39"/>
    <w:rsid w:val="7B0E7903"/>
    <w:rsid w:val="7B2A585C"/>
    <w:rsid w:val="7B352E0A"/>
    <w:rsid w:val="7B603710"/>
    <w:rsid w:val="7B6B0AAC"/>
    <w:rsid w:val="7B722792"/>
    <w:rsid w:val="7B767318"/>
    <w:rsid w:val="7B7B048A"/>
    <w:rsid w:val="7BAD61AC"/>
    <w:rsid w:val="7BBE2E0F"/>
    <w:rsid w:val="7BC167E5"/>
    <w:rsid w:val="7BC43D95"/>
    <w:rsid w:val="7BCC7C3A"/>
    <w:rsid w:val="7BEB5610"/>
    <w:rsid w:val="7BFA2079"/>
    <w:rsid w:val="7C635AEE"/>
    <w:rsid w:val="7C684EB3"/>
    <w:rsid w:val="7C6A75F5"/>
    <w:rsid w:val="7C6D6FB8"/>
    <w:rsid w:val="7C812AF0"/>
    <w:rsid w:val="7C9932BE"/>
    <w:rsid w:val="7CAC1243"/>
    <w:rsid w:val="7CB15B29"/>
    <w:rsid w:val="7CD275C8"/>
    <w:rsid w:val="7CF03860"/>
    <w:rsid w:val="7D305807"/>
    <w:rsid w:val="7D667F23"/>
    <w:rsid w:val="7D723E7F"/>
    <w:rsid w:val="7D740346"/>
    <w:rsid w:val="7D796561"/>
    <w:rsid w:val="7D7B6E68"/>
    <w:rsid w:val="7DC720AD"/>
    <w:rsid w:val="7DC97D4B"/>
    <w:rsid w:val="7DDE7F6E"/>
    <w:rsid w:val="7DE515CD"/>
    <w:rsid w:val="7DF764FB"/>
    <w:rsid w:val="7E066731"/>
    <w:rsid w:val="7E0B01EB"/>
    <w:rsid w:val="7E180F77"/>
    <w:rsid w:val="7E1A7ACF"/>
    <w:rsid w:val="7E2272E3"/>
    <w:rsid w:val="7E244E09"/>
    <w:rsid w:val="7E262469"/>
    <w:rsid w:val="7E3A521F"/>
    <w:rsid w:val="7E4454AB"/>
    <w:rsid w:val="7E4773CE"/>
    <w:rsid w:val="7E552CC1"/>
    <w:rsid w:val="7E681CEE"/>
    <w:rsid w:val="7E7C4C36"/>
    <w:rsid w:val="7E927FC5"/>
    <w:rsid w:val="7E9700A4"/>
    <w:rsid w:val="7E9C7095"/>
    <w:rsid w:val="7EAD12A3"/>
    <w:rsid w:val="7EB02B41"/>
    <w:rsid w:val="7EB0669D"/>
    <w:rsid w:val="7EB65D35"/>
    <w:rsid w:val="7EB73895"/>
    <w:rsid w:val="7EC34622"/>
    <w:rsid w:val="7EC3793F"/>
    <w:rsid w:val="7ED92FD1"/>
    <w:rsid w:val="7EF949C6"/>
    <w:rsid w:val="7F0945F7"/>
    <w:rsid w:val="7F0E1C68"/>
    <w:rsid w:val="7F12075D"/>
    <w:rsid w:val="7F163DDD"/>
    <w:rsid w:val="7F164813"/>
    <w:rsid w:val="7F2A5481"/>
    <w:rsid w:val="7F35300B"/>
    <w:rsid w:val="7F39266E"/>
    <w:rsid w:val="7F4E1D30"/>
    <w:rsid w:val="7F6D27E0"/>
    <w:rsid w:val="7F6D7A29"/>
    <w:rsid w:val="7F8F0902"/>
    <w:rsid w:val="7FB43FBC"/>
    <w:rsid w:val="7FBA4863"/>
    <w:rsid w:val="7FBC31A1"/>
    <w:rsid w:val="7FC93D68"/>
    <w:rsid w:val="7FCA00A4"/>
    <w:rsid w:val="7FD457FA"/>
    <w:rsid w:val="7FEC3B9E"/>
    <w:rsid w:val="7FF37D1F"/>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42"/>
    <w:qFormat/>
    <w:uiPriority w:val="9"/>
    <w:pPr>
      <w:keepNext/>
      <w:keepLines/>
      <w:jc w:val="center"/>
      <w:outlineLvl w:val="0"/>
    </w:pPr>
    <w:rPr>
      <w:b/>
      <w:bCs/>
      <w:kern w:val="44"/>
      <w:sz w:val="30"/>
      <w:szCs w:val="30"/>
    </w:rPr>
  </w:style>
  <w:style w:type="paragraph" w:styleId="5">
    <w:name w:val="heading 2"/>
    <w:basedOn w:val="1"/>
    <w:next w:val="1"/>
    <w:semiHidden/>
    <w:unhideWhenUsed/>
    <w:qFormat/>
    <w:uiPriority w:val="9"/>
    <w:pPr>
      <w:spacing w:beforeAutospacing="1" w:afterAutospacing="1"/>
      <w:jc w:val="left"/>
      <w:outlineLvl w:val="1"/>
    </w:pPr>
    <w:rPr>
      <w:rFonts w:hint="eastAsia" w:ascii="宋体" w:hAnsi="宋体"/>
      <w:b/>
      <w:bCs/>
      <w:kern w:val="0"/>
      <w:sz w:val="36"/>
      <w:szCs w:val="36"/>
    </w:rPr>
  </w:style>
  <w:style w:type="paragraph" w:styleId="6">
    <w:name w:val="heading 3"/>
    <w:basedOn w:val="1"/>
    <w:next w:val="1"/>
    <w:qFormat/>
    <w:uiPriority w:val="0"/>
    <w:pPr>
      <w:keepNext/>
      <w:widowControl/>
      <w:spacing w:line="400" w:lineRule="atLeast"/>
      <w:outlineLvl w:val="2"/>
    </w:pPr>
    <w:rPr>
      <w:b/>
      <w:bCs/>
      <w:sz w:val="32"/>
      <w:szCs w:val="32"/>
    </w:rPr>
  </w:style>
  <w:style w:type="paragraph" w:styleId="7">
    <w:name w:val="heading 4"/>
    <w:basedOn w:val="1"/>
    <w:next w:val="1"/>
    <w:qFormat/>
    <w:uiPriority w:val="0"/>
    <w:pPr>
      <w:spacing w:line="360" w:lineRule="auto"/>
      <w:ind w:firstLine="1440" w:firstLineChars="200"/>
      <w:outlineLvl w:val="3"/>
    </w:pPr>
    <w:rPr>
      <w:rFonts w:ascii="宋体" w:hAnsi="宋体"/>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1"/>
    <w:unhideWhenUsed/>
    <w:qFormat/>
    <w:uiPriority w:val="99"/>
    <w:pPr>
      <w:jc w:val="center"/>
    </w:pPr>
    <w:rPr>
      <w:sz w:val="21"/>
    </w:rPr>
  </w:style>
  <w:style w:type="paragraph" w:styleId="8">
    <w:name w:val="Normal Indent"/>
    <w:basedOn w:val="1"/>
    <w:unhideWhenUsed/>
    <w:qFormat/>
    <w:uiPriority w:val="99"/>
    <w:pPr>
      <w:adjustRightInd w:val="0"/>
      <w:ind w:firstLine="420"/>
      <w:jc w:val="left"/>
      <w:textAlignment w:val="baseline"/>
    </w:pPr>
    <w:rPr>
      <w:szCs w:val="21"/>
    </w:rPr>
  </w:style>
  <w:style w:type="paragraph" w:styleId="9">
    <w:name w:val="caption"/>
    <w:basedOn w:val="1"/>
    <w:next w:val="10"/>
    <w:unhideWhenUsed/>
    <w:qFormat/>
    <w:uiPriority w:val="0"/>
    <w:pPr>
      <w:jc w:val="center"/>
    </w:pPr>
    <w:rPr>
      <w:b/>
    </w:rPr>
  </w:style>
  <w:style w:type="paragraph" w:customStyle="1" w:styleId="10">
    <w:name w:val="..正文格式"/>
    <w:basedOn w:val="1"/>
    <w:qFormat/>
    <w:uiPriority w:val="0"/>
    <w:pPr>
      <w:spacing w:line="500" w:lineRule="exact"/>
      <w:ind w:firstLine="480" w:firstLineChars="200"/>
    </w:pPr>
    <w:rPr>
      <w:snapToGrid w:val="0"/>
      <w:kern w:val="0"/>
    </w:rPr>
  </w:style>
  <w:style w:type="paragraph" w:styleId="11">
    <w:name w:val="annotation text"/>
    <w:basedOn w:val="1"/>
    <w:link w:val="95"/>
    <w:semiHidden/>
    <w:unhideWhenUsed/>
    <w:qFormat/>
    <w:uiPriority w:val="99"/>
    <w:pPr>
      <w:jc w:val="left"/>
    </w:pPr>
  </w:style>
  <w:style w:type="paragraph" w:styleId="12">
    <w:name w:val="Body Text Indent"/>
    <w:basedOn w:val="1"/>
    <w:next w:val="13"/>
    <w:qFormat/>
    <w:uiPriority w:val="0"/>
    <w:pPr>
      <w:spacing w:after="120"/>
      <w:ind w:left="420" w:leftChars="200"/>
    </w:pPr>
    <w:rPr>
      <w:kern w:val="0"/>
      <w:szCs w:val="20"/>
    </w:rPr>
  </w:style>
  <w:style w:type="paragraph" w:styleId="13">
    <w:name w:val="header"/>
    <w:basedOn w:val="1"/>
    <w:next w:val="14"/>
    <w:link w:val="40"/>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customStyle="1" w:styleId="14">
    <w:name w:val="样式5"/>
    <w:basedOn w:val="15"/>
    <w:next w:val="1"/>
    <w:qFormat/>
    <w:uiPriority w:val="0"/>
    <w:pPr>
      <w:spacing w:before="100" w:beforeAutospacing="1" w:after="100" w:afterAutospacing="1" w:line="360" w:lineRule="auto"/>
    </w:pPr>
    <w:rPr>
      <w:rFonts w:ascii="Times New Roman"/>
      <w:szCs w:val="24"/>
    </w:rPr>
  </w:style>
  <w:style w:type="paragraph" w:customStyle="1" w:styleId="15">
    <w:name w:val="正文1"/>
    <w:basedOn w:val="1"/>
    <w:next w:val="1"/>
    <w:qFormat/>
    <w:uiPriority w:val="0"/>
    <w:pPr>
      <w:adjustRightInd w:val="0"/>
      <w:spacing w:line="360" w:lineRule="atLeast"/>
      <w:jc w:val="left"/>
      <w:textAlignment w:val="baseline"/>
    </w:pPr>
    <w:rPr>
      <w:rFonts w:ascii="宋体"/>
      <w:kern w:val="0"/>
      <w:szCs w:val="20"/>
    </w:rPr>
  </w:style>
  <w:style w:type="paragraph" w:styleId="16">
    <w:name w:val="toc 5"/>
    <w:basedOn w:val="1"/>
    <w:next w:val="1"/>
    <w:qFormat/>
    <w:uiPriority w:val="39"/>
    <w:pPr>
      <w:ind w:left="1680" w:leftChars="800"/>
    </w:pPr>
  </w:style>
  <w:style w:type="paragraph" w:styleId="17">
    <w:name w:val="toc 3"/>
    <w:basedOn w:val="1"/>
    <w:next w:val="1"/>
    <w:semiHidden/>
    <w:unhideWhenUsed/>
    <w:qFormat/>
    <w:uiPriority w:val="39"/>
    <w:pPr>
      <w:ind w:left="840" w:leftChars="400"/>
    </w:pPr>
  </w:style>
  <w:style w:type="paragraph" w:styleId="18">
    <w:name w:val="Plain Text"/>
    <w:basedOn w:val="1"/>
    <w:qFormat/>
    <w:uiPriority w:val="0"/>
    <w:rPr>
      <w:rFonts w:ascii="宋体" w:hAnsi="Courier New"/>
      <w:sz w:val="28"/>
      <w:szCs w:val="21"/>
    </w:rPr>
  </w:style>
  <w:style w:type="paragraph" w:styleId="19">
    <w:name w:val="List Bullet 5"/>
    <w:basedOn w:val="1"/>
    <w:semiHidden/>
    <w:unhideWhenUsed/>
    <w:qFormat/>
    <w:uiPriority w:val="99"/>
    <w:pPr>
      <w:numPr>
        <w:ilvl w:val="0"/>
        <w:numId w:val="1"/>
      </w:numPr>
    </w:pPr>
  </w:style>
  <w:style w:type="paragraph" w:styleId="20">
    <w:name w:val="Body Text Indent 2"/>
    <w:basedOn w:val="1"/>
    <w:next w:val="2"/>
    <w:qFormat/>
    <w:uiPriority w:val="0"/>
    <w:pPr>
      <w:spacing w:after="120" w:line="480" w:lineRule="auto"/>
      <w:ind w:left="420" w:leftChars="200"/>
    </w:pPr>
  </w:style>
  <w:style w:type="paragraph" w:styleId="21">
    <w:name w:val="Balloon Text"/>
    <w:basedOn w:val="1"/>
    <w:link w:val="44"/>
    <w:semiHidden/>
    <w:unhideWhenUsed/>
    <w:qFormat/>
    <w:uiPriority w:val="99"/>
    <w:rPr>
      <w:sz w:val="18"/>
      <w:szCs w:val="18"/>
    </w:rPr>
  </w:style>
  <w:style w:type="paragraph" w:styleId="22">
    <w:name w:val="footer"/>
    <w:basedOn w:val="1"/>
    <w:link w:val="4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toc 1"/>
    <w:basedOn w:val="1"/>
    <w:next w:val="1"/>
    <w:qFormat/>
    <w:uiPriority w:val="39"/>
  </w:style>
  <w:style w:type="paragraph" w:styleId="24">
    <w:name w:val="List"/>
    <w:basedOn w:val="1"/>
    <w:qFormat/>
    <w:uiPriority w:val="0"/>
    <w:pPr>
      <w:ind w:left="200" w:hanging="200" w:hangingChars="200"/>
    </w:pPr>
    <w:rPr>
      <w:rFonts w:ascii="宋体"/>
      <w:kern w:val="0"/>
      <w:szCs w:val="20"/>
    </w:rPr>
  </w:style>
  <w:style w:type="paragraph" w:styleId="25">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6">
    <w:name w:val="Message Header"/>
    <w:basedOn w:val="1"/>
    <w:qFormat/>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olor w:val="000000"/>
      <w:kern w:val="0"/>
      <w:lang w:val="zh-CN"/>
    </w:rPr>
  </w:style>
  <w:style w:type="paragraph" w:styleId="27">
    <w:name w:val="Normal (Web)"/>
    <w:basedOn w:val="1"/>
    <w:semiHidden/>
    <w:unhideWhenUsed/>
    <w:qFormat/>
    <w:uiPriority w:val="99"/>
    <w:pPr>
      <w:spacing w:beforeAutospacing="1" w:afterAutospacing="1"/>
      <w:jc w:val="left"/>
    </w:pPr>
    <w:rPr>
      <w:kern w:val="0"/>
    </w:rPr>
  </w:style>
  <w:style w:type="paragraph" w:styleId="28">
    <w:name w:val="annotation subject"/>
    <w:basedOn w:val="11"/>
    <w:next w:val="11"/>
    <w:link w:val="96"/>
    <w:semiHidden/>
    <w:unhideWhenUsed/>
    <w:qFormat/>
    <w:uiPriority w:val="99"/>
    <w:rPr>
      <w:b/>
      <w:bCs/>
    </w:rPr>
  </w:style>
  <w:style w:type="paragraph" w:styleId="29">
    <w:name w:val="Body Text First Indent 2"/>
    <w:basedOn w:val="12"/>
    <w:next w:val="1"/>
    <w:qFormat/>
    <w:uiPriority w:val="0"/>
    <w:pPr>
      <w:ind w:firstLine="420" w:firstLineChars="200"/>
    </w:p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3">
    <w:name w:val="page number"/>
    <w:basedOn w:val="32"/>
    <w:qFormat/>
    <w:uiPriority w:val="0"/>
  </w:style>
  <w:style w:type="character" w:styleId="34">
    <w:name w:val="Hyperlink"/>
    <w:basedOn w:val="32"/>
    <w:unhideWhenUsed/>
    <w:qFormat/>
    <w:uiPriority w:val="99"/>
    <w:rPr>
      <w:color w:val="0000FF"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paragraph" w:customStyle="1" w:styleId="36">
    <w:name w:val="样式 正文首行缩进 + 首行缩进:  1 字符"/>
    <w:basedOn w:val="1"/>
    <w:next w:val="1"/>
    <w:qFormat/>
    <w:uiPriority w:val="0"/>
    <w:pPr>
      <w:spacing w:after="120"/>
    </w:pPr>
    <w:rPr>
      <w:rFonts w:cs="宋体"/>
    </w:rPr>
  </w:style>
  <w:style w:type="paragraph" w:customStyle="1" w:styleId="37">
    <w:name w:val="_Style 4"/>
    <w:qFormat/>
    <w:uiPriority w:val="0"/>
    <w:pPr>
      <w:widowControl w:val="0"/>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38">
    <w:name w:val="Normal (Web)1"/>
    <w:basedOn w:val="1"/>
    <w:next w:val="39"/>
    <w:qFormat/>
    <w:uiPriority w:val="0"/>
    <w:pPr>
      <w:widowControl/>
      <w:jc w:val="left"/>
    </w:pPr>
    <w:rPr>
      <w:rFonts w:ascii="宋体"/>
      <w:kern w:val="0"/>
      <w:szCs w:val="21"/>
    </w:rPr>
  </w:style>
  <w:style w:type="paragraph" w:customStyle="1" w:styleId="39">
    <w:name w:val="Date1"/>
    <w:basedOn w:val="1"/>
    <w:next w:val="1"/>
    <w:qFormat/>
    <w:uiPriority w:val="0"/>
    <w:pPr>
      <w:ind w:left="2500" w:leftChars="2500"/>
    </w:pPr>
  </w:style>
  <w:style w:type="character" w:customStyle="1" w:styleId="40">
    <w:name w:val="页眉 Char"/>
    <w:basedOn w:val="32"/>
    <w:link w:val="13"/>
    <w:qFormat/>
    <w:uiPriority w:val="0"/>
    <w:rPr>
      <w:sz w:val="18"/>
      <w:szCs w:val="18"/>
    </w:rPr>
  </w:style>
  <w:style w:type="character" w:customStyle="1" w:styleId="41">
    <w:name w:val="页脚 Char"/>
    <w:basedOn w:val="32"/>
    <w:link w:val="22"/>
    <w:qFormat/>
    <w:uiPriority w:val="99"/>
    <w:rPr>
      <w:sz w:val="18"/>
      <w:szCs w:val="18"/>
    </w:rPr>
  </w:style>
  <w:style w:type="character" w:customStyle="1" w:styleId="42">
    <w:name w:val="标题 1 Char"/>
    <w:link w:val="4"/>
    <w:qFormat/>
    <w:uiPriority w:val="9"/>
    <w:rPr>
      <w:rFonts w:ascii="Times New Roman" w:hAnsi="Times New Roman" w:eastAsia="宋体" w:cs="Times New Roman"/>
      <w:b/>
      <w:bCs/>
      <w:kern w:val="44"/>
      <w:sz w:val="30"/>
      <w:szCs w:val="30"/>
      <w:lang w:val="en-US" w:eastAsia="zh-CN" w:bidi="ar-SA"/>
    </w:rPr>
  </w:style>
  <w:style w:type="paragraph" w:customStyle="1" w:styleId="43">
    <w:name w:val="TOC 标题1"/>
    <w:basedOn w:val="4"/>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4">
    <w:name w:val="批注框文本 Char"/>
    <w:basedOn w:val="32"/>
    <w:link w:val="21"/>
    <w:semiHidden/>
    <w:qFormat/>
    <w:uiPriority w:val="99"/>
    <w:rPr>
      <w:rFonts w:ascii="Times New Roman" w:hAnsi="Times New Roman" w:eastAsia="宋体" w:cs="Times New Roman"/>
      <w:sz w:val="18"/>
      <w:szCs w:val="18"/>
    </w:rPr>
  </w:style>
  <w:style w:type="character" w:customStyle="1" w:styleId="45">
    <w:name w:val="表格 Char"/>
    <w:link w:val="46"/>
    <w:qFormat/>
    <w:locked/>
    <w:uiPriority w:val="0"/>
    <w:rPr>
      <w:rFonts w:ascii="宋体"/>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47">
    <w:name w:val="表中文字"/>
    <w:basedOn w:val="48"/>
    <w:next w:val="1"/>
    <w:qFormat/>
    <w:uiPriority w:val="0"/>
    <w:rPr>
      <w:sz w:val="18"/>
      <w:szCs w:val="18"/>
    </w:rPr>
  </w:style>
  <w:style w:type="paragraph" w:customStyle="1" w:styleId="48">
    <w:name w:val="表头"/>
    <w:basedOn w:val="24"/>
    <w:next w:val="1"/>
    <w:qFormat/>
    <w:uiPriority w:val="0"/>
    <w:pPr>
      <w:ind w:firstLine="0" w:firstLineChars="0"/>
      <w:jc w:val="center"/>
    </w:pPr>
    <w:rPr>
      <w:rFonts w:hAnsi="宋体" w:eastAsia="黑体"/>
      <w:b/>
      <w:kern w:val="2"/>
      <w:szCs w:val="24"/>
    </w:rPr>
  </w:style>
  <w:style w:type="paragraph" w:customStyle="1" w:styleId="49">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50">
    <w:name w:val="样式4"/>
    <w:basedOn w:val="1"/>
    <w:qFormat/>
    <w:uiPriority w:val="0"/>
    <w:pPr>
      <w:adjustRightInd w:val="0"/>
      <w:snapToGrid w:val="0"/>
      <w:jc w:val="center"/>
    </w:pPr>
  </w:style>
  <w:style w:type="paragraph" w:customStyle="1" w:styleId="51">
    <w:name w:val="首行缩进表格正文"/>
    <w:basedOn w:val="1"/>
    <w:qFormat/>
    <w:uiPriority w:val="0"/>
    <w:pPr>
      <w:spacing w:line="360" w:lineRule="auto"/>
      <w:ind w:firstLine="720" w:firstLineChars="200"/>
      <w:jc w:val="left"/>
    </w:pPr>
  </w:style>
  <w:style w:type="paragraph" w:customStyle="1" w:styleId="52">
    <w:name w:val="【表头】"/>
    <w:basedOn w:val="1"/>
    <w:next w:val="1"/>
    <w:qFormat/>
    <w:uiPriority w:val="0"/>
    <w:pPr>
      <w:adjustRightInd w:val="0"/>
      <w:snapToGrid w:val="0"/>
      <w:jc w:val="center"/>
    </w:pPr>
    <w:rPr>
      <w:rFonts w:eastAsia="黑体"/>
    </w:rPr>
  </w:style>
  <w:style w:type="paragraph" w:customStyle="1" w:styleId="53">
    <w:name w:val="【表中文字】-"/>
    <w:basedOn w:val="1"/>
    <w:qFormat/>
    <w:uiPriority w:val="0"/>
    <w:pPr>
      <w:adjustRightInd w:val="0"/>
      <w:snapToGrid w:val="0"/>
      <w:jc w:val="center"/>
    </w:pPr>
    <w:rPr>
      <w:kern w:val="0"/>
      <w:sz w:val="18"/>
      <w:szCs w:val="20"/>
    </w:rPr>
  </w:style>
  <w:style w:type="paragraph" w:customStyle="1" w:styleId="54">
    <w:name w:val="【表中文字】"/>
    <w:basedOn w:val="1"/>
    <w:qFormat/>
    <w:uiPriority w:val="0"/>
    <w:pPr>
      <w:adjustRightInd w:val="0"/>
      <w:snapToGrid w:val="0"/>
      <w:jc w:val="center"/>
    </w:pPr>
    <w:rPr>
      <w:szCs w:val="20"/>
    </w:rPr>
  </w:style>
  <w:style w:type="paragraph" w:customStyle="1" w:styleId="55">
    <w:name w:val="表格标题"/>
    <w:next w:val="1"/>
    <w:qFormat/>
    <w:uiPriority w:val="0"/>
    <w:pPr>
      <w:numPr>
        <w:ilvl w:val="0"/>
        <w:numId w:val="2"/>
      </w:numPr>
      <w:jc w:val="center"/>
    </w:pPr>
    <w:rPr>
      <w:rFonts w:ascii="Times New Roman" w:hAnsi="Times New Roman" w:eastAsia="宋体" w:cs="Times New Roman"/>
      <w:b/>
      <w:sz w:val="24"/>
      <w:lang w:val="en-US" w:eastAsia="zh-CN" w:bidi="ar-SA"/>
    </w:rPr>
  </w:style>
  <w:style w:type="paragraph" w:customStyle="1" w:styleId="56">
    <w:name w:val="表格内容"/>
    <w:basedOn w:val="46"/>
    <w:qFormat/>
    <w:uiPriority w:val="0"/>
    <w:pPr>
      <w:ind w:left="-44" w:leftChars="-20" w:right="-65" w:rightChars="-27" w:hanging="4" w:hangingChars="2"/>
    </w:pPr>
    <w:rPr>
      <w:rFonts w:hAnsi="宋体" w:eastAsia="宋体" w:cs="Times New Roman"/>
      <w:color w:val="000000"/>
      <w:szCs w:val="24"/>
    </w:rPr>
  </w:style>
  <w:style w:type="paragraph" w:customStyle="1" w:styleId="57">
    <w:name w:val="文本正文"/>
    <w:basedOn w:val="1"/>
    <w:qFormat/>
    <w:uiPriority w:val="0"/>
    <w:pPr>
      <w:spacing w:line="360" w:lineRule="auto"/>
      <w:ind w:firstLine="200" w:firstLineChars="200"/>
    </w:pPr>
  </w:style>
  <w:style w:type="paragraph" w:customStyle="1" w:styleId="58">
    <w:name w:val="封皮-证书编号"/>
    <w:basedOn w:val="1"/>
    <w:qFormat/>
    <w:uiPriority w:val="0"/>
    <w:pPr>
      <w:jc w:val="center"/>
    </w:pPr>
    <w:rPr>
      <w:rFonts w:eastAsia="黑体"/>
      <w:sz w:val="28"/>
    </w:rPr>
  </w:style>
  <w:style w:type="character" w:customStyle="1" w:styleId="59">
    <w:name w:val="【正文】 Char1"/>
    <w:link w:val="60"/>
    <w:qFormat/>
    <w:locked/>
    <w:uiPriority w:val="0"/>
    <w:rPr>
      <w:rFonts w:ascii="Times New Roman" w:hAnsi="Times New Roman"/>
      <w:b/>
      <w:kern w:val="2"/>
      <w:szCs w:val="24"/>
    </w:rPr>
  </w:style>
  <w:style w:type="paragraph" w:customStyle="1" w:styleId="60">
    <w:name w:val="【正文】"/>
    <w:basedOn w:val="1"/>
    <w:next w:val="26"/>
    <w:link w:val="59"/>
    <w:qFormat/>
    <w:uiPriority w:val="0"/>
    <w:pPr>
      <w:spacing w:before="50" w:beforeLines="50"/>
    </w:pPr>
    <w:rPr>
      <w:b/>
    </w:rPr>
  </w:style>
  <w:style w:type="paragraph" w:customStyle="1" w:styleId="61">
    <w:name w:val="2表中文字"/>
    <w:qFormat/>
    <w:uiPriority w:val="0"/>
    <w:pPr>
      <w:jc w:val="center"/>
    </w:pPr>
    <w:rPr>
      <w:rFonts w:ascii="Calibri" w:hAnsi="Calibri" w:eastAsia="宋体" w:cs="Times New Roman"/>
      <w:kern w:val="2"/>
      <w:sz w:val="21"/>
      <w:szCs w:val="21"/>
      <w:lang w:val="en-US" w:eastAsia="zh-CN" w:bidi="ar-SA"/>
    </w:rPr>
  </w:style>
  <w:style w:type="character" w:customStyle="1" w:styleId="62">
    <w:name w:val="font11"/>
    <w:basedOn w:val="32"/>
    <w:qFormat/>
    <w:uiPriority w:val="0"/>
    <w:rPr>
      <w:rFonts w:hint="eastAsia" w:ascii="宋体" w:hAnsi="宋体" w:eastAsia="宋体" w:cs="宋体"/>
      <w:b/>
      <w:bCs/>
      <w:color w:val="000000"/>
      <w:sz w:val="18"/>
      <w:szCs w:val="18"/>
      <w:u w:val="none"/>
    </w:rPr>
  </w:style>
  <w:style w:type="character" w:customStyle="1" w:styleId="63">
    <w:name w:val="font51"/>
    <w:basedOn w:val="32"/>
    <w:qFormat/>
    <w:uiPriority w:val="0"/>
    <w:rPr>
      <w:rFonts w:hint="default" w:ascii="Times New Roman" w:hAnsi="Times New Roman" w:cs="Times New Roman"/>
      <w:b/>
      <w:bCs/>
      <w:color w:val="000000"/>
      <w:sz w:val="18"/>
      <w:szCs w:val="18"/>
      <w:u w:val="none"/>
    </w:rPr>
  </w:style>
  <w:style w:type="character" w:customStyle="1" w:styleId="64">
    <w:name w:val="font31"/>
    <w:basedOn w:val="32"/>
    <w:qFormat/>
    <w:uiPriority w:val="0"/>
    <w:rPr>
      <w:rFonts w:hint="eastAsia" w:ascii="宋体" w:hAnsi="宋体" w:eastAsia="宋体" w:cs="宋体"/>
      <w:color w:val="000000"/>
      <w:sz w:val="18"/>
      <w:szCs w:val="18"/>
      <w:u w:val="none"/>
    </w:rPr>
  </w:style>
  <w:style w:type="character" w:customStyle="1" w:styleId="65">
    <w:name w:val="font21"/>
    <w:basedOn w:val="32"/>
    <w:qFormat/>
    <w:uiPriority w:val="0"/>
    <w:rPr>
      <w:rFonts w:hint="default" w:ascii="Times New Roman" w:hAnsi="Times New Roman" w:cs="Times New Roman"/>
      <w:color w:val="000000"/>
      <w:sz w:val="18"/>
      <w:szCs w:val="18"/>
      <w:u w:val="none"/>
    </w:rPr>
  </w:style>
  <w:style w:type="paragraph" w:customStyle="1" w:styleId="66">
    <w:name w:val="报告表图标题"/>
    <w:basedOn w:val="1"/>
    <w:qFormat/>
    <w:uiPriority w:val="0"/>
    <w:pPr>
      <w:numPr>
        <w:ilvl w:val="0"/>
        <w:numId w:val="3"/>
      </w:numPr>
      <w:spacing w:line="360" w:lineRule="auto"/>
      <w:jc w:val="center"/>
    </w:pPr>
    <w:rPr>
      <w:b/>
      <w:kern w:val="0"/>
      <w:szCs w:val="22"/>
    </w:rPr>
  </w:style>
  <w:style w:type="paragraph" w:customStyle="1" w:styleId="67">
    <w:name w:val="无间隔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8">
    <w:name w:val="Char Char Char Char Char Char Char1"/>
    <w:basedOn w:val="1"/>
    <w:qFormat/>
    <w:uiPriority w:val="0"/>
    <w:pPr>
      <w:spacing w:line="360" w:lineRule="auto"/>
      <w:ind w:firstLine="200" w:firstLineChars="200"/>
    </w:pPr>
    <w:rPr>
      <w:rFonts w:ascii="宋体" w:hAnsi="宋体" w:cs="宋体"/>
    </w:rPr>
  </w:style>
  <w:style w:type="paragraph" w:customStyle="1" w:styleId="69">
    <w:name w:val="Default"/>
    <w:basedOn w:val="70"/>
    <w:qFormat/>
    <w:uiPriority w:val="0"/>
    <w:pPr>
      <w:widowControl w:val="0"/>
      <w:autoSpaceDE w:val="0"/>
      <w:autoSpaceDN w:val="0"/>
    </w:pPr>
    <w:rPr>
      <w:rFonts w:hAnsi="Times New Roman"/>
      <w:color w:val="000000"/>
      <w:szCs w:val="24"/>
    </w:rPr>
  </w:style>
  <w:style w:type="paragraph" w:customStyle="1" w:styleId="70">
    <w:name w:val="纯文本1"/>
    <w:qFormat/>
    <w:uiPriority w:val="0"/>
    <w:pPr>
      <w:adjustRightInd w:val="0"/>
      <w:jc w:val="center"/>
      <w:textAlignment w:val="baseline"/>
    </w:pPr>
    <w:rPr>
      <w:rFonts w:ascii="宋体" w:hAnsi="Courier New" w:eastAsia="宋体" w:cs="Times New Roman"/>
      <w:sz w:val="24"/>
      <w:lang w:val="en-US" w:eastAsia="zh-CN" w:bidi="ar-SA"/>
    </w:rPr>
  </w:style>
  <w:style w:type="character" w:customStyle="1" w:styleId="71">
    <w:name w:val="font41"/>
    <w:basedOn w:val="32"/>
    <w:qFormat/>
    <w:uiPriority w:val="0"/>
    <w:rPr>
      <w:rFonts w:hint="default" w:ascii="Times New Roman" w:hAnsi="Times New Roman" w:cs="Times New Roman"/>
      <w:b/>
      <w:bCs/>
      <w:color w:val="000000"/>
      <w:sz w:val="18"/>
      <w:szCs w:val="18"/>
      <w:u w:val="none"/>
    </w:rPr>
  </w:style>
  <w:style w:type="character" w:customStyle="1" w:styleId="72">
    <w:name w:val="font61"/>
    <w:basedOn w:val="32"/>
    <w:qFormat/>
    <w:uiPriority w:val="0"/>
    <w:rPr>
      <w:rFonts w:hint="default" w:ascii="Times New Roman" w:hAnsi="Times New Roman" w:cs="Times New Roman"/>
      <w:color w:val="000000"/>
      <w:sz w:val="18"/>
      <w:szCs w:val="18"/>
      <w:u w:val="none"/>
      <w:vertAlign w:val="subscript"/>
    </w:rPr>
  </w:style>
  <w:style w:type="paragraph" w:customStyle="1" w:styleId="73">
    <w:name w:val="a正文"/>
    <w:basedOn w:val="74"/>
    <w:qFormat/>
    <w:uiPriority w:val="0"/>
    <w:pPr>
      <w:spacing w:line="520" w:lineRule="exact"/>
      <w:ind w:firstLine="200"/>
    </w:pPr>
  </w:style>
  <w:style w:type="paragraph" w:customStyle="1" w:styleId="74">
    <w:name w:val="正文格式"/>
    <w:basedOn w:val="1"/>
    <w:qFormat/>
    <w:uiPriority w:val="0"/>
    <w:pPr>
      <w:spacing w:line="360" w:lineRule="auto"/>
      <w:ind w:firstLine="420" w:firstLineChars="200"/>
    </w:pPr>
    <w:rPr>
      <w:kern w:val="0"/>
      <w:szCs w:val="21"/>
    </w:rPr>
  </w:style>
  <w:style w:type="paragraph" w:customStyle="1" w:styleId="75">
    <w:name w:val="C【表中文字】-"/>
    <w:basedOn w:val="1"/>
    <w:qFormat/>
    <w:uiPriority w:val="0"/>
    <w:pPr>
      <w:adjustRightInd w:val="0"/>
      <w:snapToGrid w:val="0"/>
      <w:spacing w:line="360" w:lineRule="auto"/>
      <w:ind w:firstLine="480" w:firstLineChars="200"/>
      <w:jc w:val="center"/>
    </w:pPr>
    <w:rPr>
      <w:rFonts w:ascii="宋体" w:hAnsi="宋体" w:cs="宋体"/>
      <w:bCs/>
      <w:kern w:val="0"/>
      <w:sz w:val="18"/>
      <w:szCs w:val="20"/>
    </w:rPr>
  </w:style>
  <w:style w:type="paragraph" w:customStyle="1" w:styleId="76">
    <w:name w:val="填表样式"/>
    <w:basedOn w:val="1"/>
    <w:qFormat/>
    <w:uiPriority w:val="0"/>
    <w:pPr>
      <w:adjustRightInd w:val="0"/>
      <w:snapToGrid w:val="0"/>
      <w:spacing w:line="360" w:lineRule="auto"/>
      <w:ind w:firstLine="720" w:firstLineChars="200"/>
    </w:pPr>
  </w:style>
  <w:style w:type="paragraph" w:customStyle="1" w:styleId="77">
    <w:name w:val="L首行缩进正文"/>
    <w:basedOn w:val="60"/>
    <w:qFormat/>
    <w:uiPriority w:val="0"/>
    <w:pPr>
      <w:ind w:firstLine="480"/>
    </w:pPr>
  </w:style>
  <w:style w:type="paragraph" w:customStyle="1" w:styleId="78">
    <w:name w:val="UserStyle_0"/>
    <w:basedOn w:val="79"/>
    <w:next w:val="80"/>
    <w:qFormat/>
    <w:uiPriority w:val="0"/>
    <w:pPr>
      <w:spacing w:line="360" w:lineRule="auto"/>
      <w:ind w:firstLine="480" w:firstLineChars="200"/>
    </w:pPr>
    <w:rPr>
      <w:rFonts w:ascii="Calibri" w:hAnsi="Calibri"/>
      <w:szCs w:val="22"/>
    </w:rPr>
  </w:style>
  <w:style w:type="paragraph" w:customStyle="1" w:styleId="79">
    <w:name w:val="UserStyle_1"/>
    <w:basedOn w:val="1"/>
    <w:next w:val="1"/>
    <w:qFormat/>
    <w:uiPriority w:val="0"/>
    <w:pPr>
      <w:spacing w:after="120"/>
      <w:textAlignment w:val="baseline"/>
    </w:pPr>
  </w:style>
  <w:style w:type="paragraph" w:customStyle="1" w:styleId="80">
    <w:name w:val="TOC1"/>
    <w:basedOn w:val="1"/>
    <w:next w:val="1"/>
    <w:qFormat/>
    <w:uiPriority w:val="0"/>
    <w:pPr>
      <w:spacing w:line="360" w:lineRule="auto"/>
      <w:textAlignment w:val="baseline"/>
    </w:pPr>
    <w:rPr>
      <w:rFonts w:ascii="Calibri" w:hAnsi="Calibri"/>
      <w:b/>
      <w:szCs w:val="22"/>
    </w:rPr>
  </w:style>
  <w:style w:type="table" w:customStyle="1" w:styleId="81">
    <w:name w:val="Table Normal"/>
    <w:unhideWhenUsed/>
    <w:qFormat/>
    <w:uiPriority w:val="2"/>
    <w:tblPr>
      <w:tblLayout w:type="fixed"/>
      <w:tblCellMar>
        <w:top w:w="0" w:type="dxa"/>
        <w:left w:w="0" w:type="dxa"/>
        <w:bottom w:w="0" w:type="dxa"/>
        <w:right w:w="0" w:type="dxa"/>
      </w:tblCellMar>
    </w:tblPr>
  </w:style>
  <w:style w:type="paragraph" w:customStyle="1" w:styleId="82">
    <w:name w:val="设计表格"/>
    <w:basedOn w:val="1"/>
    <w:qFormat/>
    <w:uiPriority w:val="0"/>
    <w:pPr>
      <w:adjustRightInd w:val="0"/>
      <w:jc w:val="center"/>
    </w:pPr>
    <w:rPr>
      <w:kern w:val="0"/>
    </w:rPr>
  </w:style>
  <w:style w:type="paragraph" w:customStyle="1" w:styleId="83">
    <w:name w:val="表格内"/>
    <w:qFormat/>
    <w:uiPriority w:val="0"/>
    <w:pPr>
      <w:adjustRightInd w:val="0"/>
      <w:snapToGrid w:val="0"/>
      <w:jc w:val="center"/>
    </w:pPr>
    <w:rPr>
      <w:rFonts w:ascii="Times New Roman" w:hAnsi="Times New Roman" w:eastAsia="宋体" w:cs="Times New Roman"/>
      <w:snapToGrid w:val="0"/>
      <w:sz w:val="18"/>
      <w:szCs w:val="21"/>
      <w:lang w:val="en-US" w:eastAsia="zh-CN" w:bidi="ar-SA"/>
    </w:rPr>
  </w:style>
  <w:style w:type="paragraph" w:customStyle="1" w:styleId="84">
    <w:name w:val="报告书正文"/>
    <w:basedOn w:val="1"/>
    <w:qFormat/>
    <w:uiPriority w:val="0"/>
    <w:pPr>
      <w:adjustRightInd w:val="0"/>
      <w:snapToGrid w:val="0"/>
      <w:spacing w:line="360" w:lineRule="auto"/>
      <w:ind w:firstLine="425"/>
      <w:textAlignment w:val="baseline"/>
    </w:pPr>
    <w:rPr>
      <w:rFonts w:ascii="Arial" w:hAnsi="Arial"/>
      <w:kern w:val="0"/>
    </w:rPr>
  </w:style>
  <w:style w:type="paragraph" w:customStyle="1" w:styleId="85">
    <w:name w:val="我的表格"/>
    <w:basedOn w:val="1"/>
    <w:next w:val="1"/>
    <w:qFormat/>
    <w:uiPriority w:val="0"/>
    <w:pPr>
      <w:adjustRightInd w:val="0"/>
      <w:snapToGrid w:val="0"/>
      <w:spacing w:beforeLines="10" w:afterLines="10" w:line="240" w:lineRule="atLeast"/>
      <w:jc w:val="center"/>
    </w:pPr>
    <w:rPr>
      <w:kern w:val="0"/>
      <w:szCs w:val="20"/>
    </w:rPr>
  </w:style>
  <w:style w:type="paragraph" w:customStyle="1" w:styleId="86">
    <w:name w:val="报告表正文"/>
    <w:basedOn w:val="87"/>
    <w:qFormat/>
    <w:uiPriority w:val="0"/>
    <w:pPr>
      <w:widowControl/>
      <w:spacing w:line="360" w:lineRule="auto"/>
      <w:ind w:firstLine="720" w:firstLineChars="200"/>
      <w:jc w:val="both"/>
    </w:pPr>
    <w:rPr>
      <w:rFonts w:hint="eastAsia"/>
      <w:snapToGrid w:val="0"/>
      <w:color w:val="000000"/>
      <w:kern w:val="44"/>
      <w:szCs w:val="30"/>
    </w:rPr>
  </w:style>
  <w:style w:type="paragraph" w:customStyle="1" w:styleId="87">
    <w:name w:val="CM4"/>
    <w:basedOn w:val="1"/>
    <w:next w:val="1"/>
    <w:qFormat/>
    <w:uiPriority w:val="0"/>
    <w:pPr>
      <w:keepNext/>
      <w:spacing w:line="520" w:lineRule="exact"/>
      <w:jc w:val="center"/>
    </w:pPr>
    <w:rPr>
      <w:b/>
      <w:kern w:val="0"/>
      <w:szCs w:val="21"/>
    </w:rPr>
  </w:style>
  <w:style w:type="paragraph" w:customStyle="1" w:styleId="88">
    <w:name w:val="段落1"/>
    <w:basedOn w:val="1"/>
    <w:qFormat/>
    <w:uiPriority w:val="0"/>
    <w:pPr>
      <w:spacing w:before="120" w:after="120" w:line="440" w:lineRule="exact"/>
      <w:ind w:firstLine="200" w:firstLineChars="200"/>
    </w:pPr>
    <w:rPr>
      <w:spacing w:val="6"/>
    </w:rPr>
  </w:style>
  <w:style w:type="paragraph" w:styleId="89">
    <w:name w:val="List Paragraph"/>
    <w:basedOn w:val="1"/>
    <w:qFormat/>
    <w:uiPriority w:val="34"/>
    <w:pPr>
      <w:ind w:firstLine="420" w:firstLineChars="200"/>
    </w:pPr>
  </w:style>
  <w:style w:type="paragraph" w:customStyle="1" w:styleId="90">
    <w:name w:val="11111"/>
    <w:basedOn w:val="1"/>
    <w:next w:val="1"/>
    <w:qFormat/>
    <w:uiPriority w:val="0"/>
    <w:pPr>
      <w:spacing w:line="360" w:lineRule="auto"/>
      <w:ind w:firstLine="200" w:firstLineChars="200"/>
    </w:pPr>
    <w:rPr>
      <w:rFonts w:hAnsi="宋体" w:cs="宋体"/>
    </w:rPr>
  </w:style>
  <w:style w:type="paragraph" w:customStyle="1" w:styleId="91">
    <w:name w:val="表格文字"/>
    <w:qFormat/>
    <w:uiPriority w:val="0"/>
    <w:pPr>
      <w:spacing w:before="31" w:beforeLines="10" w:after="31" w:afterLines="10" w:line="240" w:lineRule="atLeast"/>
      <w:jc w:val="center"/>
    </w:pPr>
    <w:rPr>
      <w:rFonts w:hint="eastAsia" w:ascii="Times New Roman" w:hAnsi="Times New Roman" w:eastAsia="宋体" w:cs="Times New Roman"/>
      <w:kern w:val="2"/>
      <w:sz w:val="18"/>
      <w:lang w:val="en-US" w:eastAsia="zh-CN" w:bidi="ar-SA"/>
    </w:rPr>
  </w:style>
  <w:style w:type="paragraph" w:customStyle="1" w:styleId="92">
    <w:name w:val="表格题目"/>
    <w:basedOn w:val="1"/>
    <w:unhideWhenUsed/>
    <w:qFormat/>
    <w:uiPriority w:val="0"/>
    <w:pPr>
      <w:spacing w:line="240" w:lineRule="atLeast"/>
      <w:jc w:val="center"/>
    </w:pPr>
    <w:rPr>
      <w:rFonts w:hint="eastAsia" w:ascii="黑体" w:hAnsi="宋体" w:eastAsia="黑体"/>
    </w:rPr>
  </w:style>
  <w:style w:type="paragraph" w:customStyle="1" w:styleId="93">
    <w:name w:val="正文2"/>
    <w:basedOn w:val="1"/>
    <w:qFormat/>
    <w:uiPriority w:val="0"/>
    <w:pPr>
      <w:spacing w:line="360" w:lineRule="auto"/>
      <w:ind w:firstLine="720" w:firstLineChars="200"/>
    </w:pPr>
    <w:rPr>
      <w:color w:val="1D41D5"/>
    </w:rPr>
  </w:style>
  <w:style w:type="paragraph" w:customStyle="1" w:styleId="94">
    <w:name w:val="我的正文"/>
    <w:basedOn w:val="1"/>
    <w:qFormat/>
    <w:uiPriority w:val="0"/>
    <w:pPr>
      <w:adjustRightInd w:val="0"/>
      <w:snapToGrid w:val="0"/>
      <w:spacing w:line="480" w:lineRule="exact"/>
      <w:ind w:firstLine="720" w:firstLineChars="200"/>
      <w:jc w:val="left"/>
    </w:pPr>
    <w:rPr>
      <w:rFonts w:cs="宋体"/>
      <w:bCs/>
      <w:szCs w:val="21"/>
    </w:rPr>
  </w:style>
  <w:style w:type="character" w:customStyle="1" w:styleId="95">
    <w:name w:val="批注文字 Char"/>
    <w:basedOn w:val="32"/>
    <w:link w:val="11"/>
    <w:semiHidden/>
    <w:qFormat/>
    <w:uiPriority w:val="99"/>
    <w:rPr>
      <w:kern w:val="2"/>
      <w:sz w:val="24"/>
      <w:szCs w:val="24"/>
    </w:rPr>
  </w:style>
  <w:style w:type="character" w:customStyle="1" w:styleId="96">
    <w:name w:val="批注主题 Char"/>
    <w:basedOn w:val="95"/>
    <w:link w:val="28"/>
    <w:semiHidden/>
    <w:qFormat/>
    <w:uiPriority w:val="99"/>
    <w:rPr>
      <w:b/>
      <w:bCs/>
      <w:kern w:val="2"/>
      <w:sz w:val="24"/>
      <w:szCs w:val="24"/>
    </w:rPr>
  </w:style>
  <w:style w:type="paragraph" w:customStyle="1" w:styleId="97">
    <w:name w:val="报告表专项情况正文"/>
    <w:qFormat/>
    <w:uiPriority w:val="0"/>
    <w:pPr>
      <w:autoSpaceDE w:val="0"/>
      <w:autoSpaceDN w:val="0"/>
      <w:adjustRightInd w:val="0"/>
      <w:snapToGrid w:val="0"/>
      <w:ind w:firstLine="720" w:firstLineChars="200"/>
      <w:jc w:val="both"/>
    </w:pPr>
    <w:rPr>
      <w:rFonts w:ascii="Times New Roman" w:hAnsi="Times New Roman" w:eastAsia="宋体" w:cs="宋体"/>
      <w:sz w:val="21"/>
      <w:szCs w:val="21"/>
      <w:lang w:val="en-US" w:eastAsia="zh-CN" w:bidi="ar-SA"/>
    </w:rPr>
  </w:style>
  <w:style w:type="character" w:customStyle="1" w:styleId="98">
    <w:name w:val="【图号】"/>
    <w:qFormat/>
    <w:uiPriority w:val="0"/>
    <w:rPr>
      <w:b/>
      <w:kern w:val="2"/>
      <w:sz w:val="21"/>
      <w:szCs w:val="24"/>
    </w:rPr>
  </w:style>
  <w:style w:type="paragraph" w:customStyle="1" w:styleId="99">
    <w:name w:val="p0"/>
    <w:basedOn w:val="1"/>
    <w:qFormat/>
    <w:uiPriority w:val="0"/>
    <w:pPr>
      <w:widowControl/>
    </w:pPr>
    <w:rPr>
      <w:kern w:val="0"/>
      <w:sz w:val="20"/>
      <w:szCs w:val="21"/>
    </w:rPr>
  </w:style>
  <w:style w:type="paragraph" w:customStyle="1" w:styleId="100">
    <w:name w:val="Table Text"/>
    <w:basedOn w:val="1"/>
    <w:semiHidden/>
    <w:qFormat/>
    <w:uiPriority w:val="0"/>
    <w:rPr>
      <w:rFonts w:ascii="宋体" w:hAnsi="宋体" w:cs="宋体"/>
      <w:sz w:val="20"/>
      <w:szCs w:val="20"/>
      <w:lang w:eastAsia="en-US"/>
    </w:rPr>
  </w:style>
  <w:style w:type="paragraph" w:customStyle="1" w:styleId="101">
    <w:name w:val="【表中表】"/>
    <w:basedOn w:val="1"/>
    <w:qFormat/>
    <w:uiPriority w:val="0"/>
    <w:pPr>
      <w:adjustRightInd w:val="0"/>
      <w:snapToGrid w:val="0"/>
      <w:jc w:val="center"/>
    </w:pPr>
    <w:rPr>
      <w:rFonts w:eastAsia="Times New Roman"/>
      <w:kern w:val="0"/>
    </w:rPr>
  </w:style>
  <w:style w:type="paragraph" w:customStyle="1" w:styleId="102">
    <w:name w:val="三级标题"/>
    <w:basedOn w:val="1"/>
    <w:next w:val="1"/>
    <w:qFormat/>
    <w:uiPriority w:val="0"/>
    <w:pPr>
      <w:widowControl/>
      <w:adjustRightInd w:val="0"/>
      <w:snapToGrid w:val="0"/>
      <w:spacing w:line="520" w:lineRule="exact"/>
      <w:outlineLvl w:val="2"/>
    </w:pPr>
    <w:rPr>
      <w:rFonts w:eastAsia="仿宋"/>
      <w:b/>
      <w:sz w:val="28"/>
      <w:szCs w:val="28"/>
    </w:rPr>
  </w:style>
  <w:style w:type="paragraph" w:customStyle="1" w:styleId="103">
    <w:name w:val="Table Paragraph"/>
    <w:basedOn w:val="1"/>
    <w:qFormat/>
    <w:uiPriority w:val="1"/>
    <w:rPr>
      <w:rFonts w:ascii="宋体" w:hAnsi="宋体" w:eastAsia="宋体" w:cs="宋体"/>
      <w:lang w:val="zh-CN" w:eastAsia="zh-CN" w:bidi="zh-CN"/>
    </w:rPr>
  </w:style>
  <w:style w:type="paragraph" w:customStyle="1" w:styleId="104">
    <w:name w:val="A表中表"/>
    <w:basedOn w:val="105"/>
    <w:qFormat/>
    <w:uiPriority w:val="0"/>
    <w:rPr>
      <w:sz w:val="21"/>
    </w:rPr>
  </w:style>
  <w:style w:type="paragraph" w:customStyle="1" w:styleId="105">
    <w:name w:val="A正文但表格"/>
    <w:basedOn w:val="106"/>
    <w:qFormat/>
    <w:uiPriority w:val="0"/>
    <w:pPr>
      <w:spacing w:line="240" w:lineRule="auto"/>
      <w:ind w:firstLine="0" w:firstLineChars="0"/>
      <w:jc w:val="center"/>
    </w:pPr>
  </w:style>
  <w:style w:type="paragraph" w:customStyle="1" w:styleId="106">
    <w:name w:val="AAA正文1"/>
    <w:basedOn w:val="1"/>
    <w:qFormat/>
    <w:uiPriority w:val="0"/>
    <w:pPr>
      <w:adjustRightInd w:val="0"/>
      <w:snapToGrid w:val="0"/>
      <w:spacing w:line="500" w:lineRule="exact"/>
      <w:ind w:firstLine="200" w:firstLineChars="200"/>
    </w:pPr>
    <w:rPr>
      <w:rFonts w:eastAsia="仿宋"/>
      <w:color w:val="000000"/>
      <w:sz w:val="24"/>
    </w:rPr>
  </w:style>
  <w:style w:type="paragraph" w:customStyle="1" w:styleId="107">
    <w:name w:val="M表中字体"/>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108">
    <w:name w:val="AAA首行缩进2字符正文"/>
    <w:basedOn w:val="109"/>
    <w:qFormat/>
    <w:uiPriority w:val="0"/>
    <w:pPr>
      <w:adjustRightInd w:val="0"/>
      <w:snapToGrid w:val="0"/>
      <w:spacing w:line="500" w:lineRule="exact"/>
    </w:pPr>
    <w:rPr>
      <w:rFonts w:eastAsia="仿宋"/>
      <w:sz w:val="24"/>
    </w:rPr>
  </w:style>
  <w:style w:type="paragraph" w:customStyle="1" w:styleId="109">
    <w:name w:val="首行缩进正文"/>
    <w:basedOn w:val="60"/>
    <w:qFormat/>
    <w:uiPriority w:val="0"/>
    <w:rPr>
      <w:sz w:val="21"/>
    </w:rPr>
  </w:style>
  <w:style w:type="paragraph" w:customStyle="1" w:styleId="110">
    <w:name w:val="正文00"/>
    <w:basedOn w:val="1"/>
    <w:next w:val="111"/>
    <w:qFormat/>
    <w:uiPriority w:val="0"/>
    <w:pPr>
      <w:spacing w:line="500" w:lineRule="exact"/>
      <w:ind w:firstLine="200" w:firstLineChars="200"/>
    </w:pPr>
    <w:rPr>
      <w:rFonts w:hint="default" w:ascii="Calibri" w:hAnsi="Calibri" w:eastAsia="华文中宋" w:cs="Times New Roman"/>
      <w:sz w:val="28"/>
      <w:szCs w:val="28"/>
    </w:rPr>
  </w:style>
  <w:style w:type="paragraph" w:customStyle="1" w:styleId="111">
    <w:name w:val="样式 Times New Roman 五号 居中1"/>
    <w:basedOn w:val="1"/>
    <w:next w:val="48"/>
    <w:qFormat/>
    <w:uiPriority w:val="99"/>
    <w:pPr>
      <w:jc w:val="center"/>
    </w:pPr>
    <w:rPr>
      <w:rFonts w:ascii="Times New Roman" w:hAnsi="Times New Roman" w:cs="宋体"/>
      <w:szCs w:val="21"/>
    </w:rPr>
  </w:style>
  <w:style w:type="paragraph" w:customStyle="1" w:styleId="112">
    <w:name w:val="0正文"/>
    <w:unhideWhenUsed/>
    <w:qFormat/>
    <w:uiPriority w:val="0"/>
    <w:pPr>
      <w:widowControl w:val="0"/>
      <w:spacing w:line="360" w:lineRule="auto"/>
      <w:ind w:firstLine="200" w:firstLineChars="200"/>
    </w:pPr>
    <w:rPr>
      <w:rFonts w:ascii="Times New Roman" w:hAnsi="Times New Roman" w:eastAsia="宋体" w:cs="Times New Roman"/>
      <w:sz w:val="24"/>
      <w:szCs w:val="22"/>
      <w:lang w:val="en-US" w:eastAsia="zh-CN" w:bidi="ar-SA"/>
    </w:rPr>
  </w:style>
  <w:style w:type="paragraph" w:customStyle="1" w:styleId="113">
    <w:name w:val="注释"/>
    <w:basedOn w:val="1"/>
    <w:qFormat/>
    <w:uiPriority w:val="0"/>
    <w:pPr>
      <w:adjustRightInd w:val="0"/>
      <w:snapToGrid w:val="0"/>
      <w:spacing w:line="360" w:lineRule="auto"/>
      <w:textAlignment w:val="baseline"/>
    </w:pPr>
    <w:rPr>
      <w:rFonts w:ascii="宋体"/>
      <w:snapToGrid w:val="0"/>
      <w:spacing w:val="4"/>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3.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2.jpe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yNzMwMDI2NjI0IiwKCSJHcm91cElkIiA6ICI3MzUxMzk3ODEiLAoJIkltYWdlIiA6ICJpVkJPUncwS0dnb0FBQUFOU1VoRVVnQUFBKzRBQUFESkNBWUFBQUM5cFdpdEFBQUFBWE5TUjBJQXJzNGM2UUFBSUFCSlJFRlVlSnp0M1hsOFUxWDZ4L0h2VGRQU2pkV0NiRXBGVUZBUkNxTGdnb015aktMZzhuTUJCV1JSWEVEMkFVVDJSUWN0S0NpYkRnaUlDQWhWUUZGQTZJQ3lnNlZsRlJBNlV2WUtMWFFueWYzOVlaTnAycVF0VUd3b24vZHJlRTF6NzgzTlNXMU96bk9XNTB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jl2L3d6V0R4Rk9HZzhnQUFBQUJKUlU1RXJrSmdnZz09IiwKCSJUaGVtZSIgOiAiIiwKCSJUeXBlIiA6ICJmbG93IiwKCSJVc2VySWQiIDogIjY1ODAzMzA2OSIsCgkiVmVyc2lvbiIgOiAiMTE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6210915d-31ce-4ecb-bdd8-aa50444a5c15</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 4A1ED3B</paraID>
      <start>99</start>
      <end>119</end>
      <status>modified</status>
      <modifiedWord>《产业结构调整指导目录（2024年本）》</modifiedWord>
      <trackRevisions>false</trackRevisions>
    </reviewItem>
    <reviewItem>
      <errorID>595dfedb-8d48-4c9e-9b8b-229325b03c6f</errorID>
      <errorWord>法律、法规</errorWord>
      <group>L1_Word</group>
      <groupName>字词问题</groupName>
      <ability>L2_Typo</ability>
      <abilityName>字词错误</abilityName>
      <candidateList>
        <item>法律法规</item>
      </candidateList>
      <explain/>
      <paraID> 4A1ED3B</paraID>
      <start>136</start>
      <end>141</end>
      <status>unmodified</status>
      <modifiedWord/>
      <trackRevisions>false</trackRevisions>
    </reviewItem>
    <reviewItem>
      <errorID>ef050fe6-61ad-42ac-8b9d-e52e61e8013b</errorID>
      <errorWord>拌合站</errorWord>
      <group>L1_Word</group>
      <groupName>字词问题</groupName>
      <ability>L2_Typo</ability>
      <abilityName>字词错误</abilityName>
      <candidateList>
        <item>拌和站</item>
      </candidateList>
      <explain>存在发音相同字词的误用。</explain>
      <paraID>1E9CCA32</paraID>
      <start>200</start>
      <end>203</end>
      <status>unmodified</status>
      <modifiedWord/>
      <trackRevisions>false</trackRevisions>
    </reviewItem>
    <reviewItem>
      <errorID>65b8f379-53f9-4790-807f-18523c351243</errorID>
      <errorWord>数据交集</errorWord>
      <group>L1_Knowledge</group>
      <groupName>知识性问题</groupName>
      <ability>L2_Term</ability>
      <abilityName>专业术语</abilityName>
      <candidateList>
        <item>数据采集</item>
      </candidateList>
      <explain/>
      <paraID>4AF16FC2</paraID>
      <start>118</start>
      <end>122</end>
      <status>unmodified</status>
      <modifiedWord/>
      <trackRevisions>false</trackRevisions>
    </reviewItem>
    <reviewItem>
      <errorID>d7f9ce87-b472-4f7f-b4e4-22f7e1e09e30</errorID>
      <errorWord>交集</errorWord>
      <group>L1_Word</group>
      <groupName>字词问题</groupName>
      <ability>L2_Typo</ability>
      <abilityName>字词错误</abilityName>
      <candidateList>
        <item>交接</item>
      </candidateList>
      <explain/>
      <paraID>4AF16FC2</paraID>
      <start>258</start>
      <end>260</end>
      <status>unmodified</status>
      <modifiedWord/>
      <trackRevisions>false</trackRevisions>
    </reviewItem>
    <reviewItem>
      <errorID>b5999f71-9162-43de-8ad7-5dbb790806ec</errorID>
      <errorWord>工地</errorWord>
      <group>L1_Word</group>
      <groupName>字词问题</groupName>
      <ability>L2_Typo</ability>
      <abilityName>字词错误</abilityName>
      <candidateList>
        <item>场地</item>
      </candidateList>
      <explain/>
      <paraID>37D75C59</paraID>
      <start>6</start>
      <end>8</end>
      <status>unmodified</status>
      <modifiedWord/>
      <trackRevisions>false</trackRevisions>
    </reviewItem>
    <reviewItem>
      <errorID>34205368-526e-4104-b5f2-b4d270dd0316</errorID>
      <errorWord>工地</errorWord>
      <group>L1_Word</group>
      <groupName>字词问题</groupName>
      <ability>L2_Typo</ability>
      <abilityName>字词错误</abilityName>
      <candidateList>
        <item>场地</item>
      </candidateList>
      <explain/>
      <paraID>210A9EDE</paraID>
      <start>5</start>
      <end>7</end>
      <status>unmodified</status>
      <modifiedWord/>
      <trackRevisions>false</trackRevisions>
    </reviewItem>
    <reviewItem>
      <errorID>d199e7a6-5bd7-4ac8-85a5-e34e4b1acee2</errorID>
      <errorWord>经常性</errorWord>
      <group>L1_Word</group>
      <groupName>字词问题</groupName>
      <ability>L2_Typo</ability>
      <abilityName>字词错误</abilityName>
      <candidateList>
        <item>经常</item>
      </candidateList>
      <explain/>
      <paraID>19C5CC91</paraID>
      <start>57</start>
      <end>60</end>
      <status>unmodified</status>
      <modifiedWord/>
      <trackRevisions>false</trackRevisions>
    </reviewItem>
    <reviewItem>
      <errorID>a476bde2-eeb4-4eb1-b585-fbd67cc4d09f</errorID>
      <errorWord>区域性和</errorWord>
      <group>L1_Word</group>
      <groupName>字词问题</groupName>
      <ability>L2_Typo</ability>
      <abilityName>字词错误</abilityName>
      <candidateList>
        <item>区域性</item>
      </candidateList>
      <explain/>
      <paraID>14256A46</paraID>
      <start>80</start>
      <end>84</end>
      <status>unmodified</status>
      <modifiedWord/>
      <trackRevisions>false</trackRevisions>
    </reviewItem>
    <reviewItem>
      <errorID>ac2d65cb-c271-4f45-855a-0745c3b02ec2</errorID>
      <errorWord>城乡结合部</errorWord>
      <group>L1_Knowledge</group>
      <groupName>知识性问题</groupName>
      <ability>L2_Knowledge</ability>
      <abilityName>其他知识</abilityName>
      <candidateList>
        <item>城乡接合部</item>
      </candidateList>
      <explain/>
      <paraID>739B7302</paraID>
      <start>90</start>
      <end>95</end>
      <status>unmodified</status>
      <modifiedWord/>
      <trackRevisions>false</trackRevisions>
    </reviewItem>
    <reviewItem>
      <errorID>d6d34dff-415d-454f-812c-9f25c8bfe731</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42266B57</paraID>
      <start>179</start>
      <end>186</end>
      <status>unmodified</status>
      <modifiedWord/>
      <trackRevisions>false</trackRevisions>
    </reviewItem>
    <reviewItem>
      <errorID>0b8069cb-d1de-4bbd-9b86-f08e5cc5cc79</errorID>
      <errorWord>恶</errorWord>
      <group>L1_Word</group>
      <groupName>字词问题</groupName>
      <ability>L2_Typo</ability>
      <abilityName>字词错误</abilityName>
      <candidateList>
        <item>噁</item>
      </candidateList>
      <explain/>
      <paraID>5D0320F7</paraID>
      <start>7</start>
      <end>8</end>
      <status>unmodified</status>
      <modifiedWord/>
      <trackRevisions>false</trackRevisions>
    </reviewItem>
    <reviewItem>
      <errorID>effd2c6e-5701-4656-a91b-16ab74bd983a</errorID>
      <errorWord>二恶英</errorWord>
      <group>L1_Word</group>
      <groupName>字词问题</groupName>
      <ability>L2_Typo</ability>
      <abilityName>字词错误</abilityName>
      <candidateList>
        <item>二噁英</item>
      </candidateList>
      <explain/>
      <paraID>6E0C9775</paraID>
      <start>65</start>
      <end>68</end>
      <status>unmodified</status>
      <modifiedWord/>
      <trackRevisions>false</trackRevisions>
    </reviewItem>
    <reviewItem>
      <errorID>14371bf5-42ee-477e-bddd-f2f969e7d3e4</errorID>
      <errorWord>二恶英</errorWord>
      <group>L1_Word</group>
      <groupName>字词问题</groupName>
      <ability>L2_Typo</ability>
      <abilityName>字词错误</abilityName>
      <candidateList>
        <item>二噁英</item>
      </candidateList>
      <explain/>
      <paraID>6E0C9775</paraID>
      <start>134</start>
      <end>137</end>
      <status>unmodified</status>
      <modifiedWord/>
      <trackRevisions>false</trackRevisions>
    </reviewItem>
    <reviewItem>
      <errorID>273542b3-6c13-4b42-acc1-cc74ff3f421f</errorID>
      <errorWord>二恶英</errorWord>
      <group>L1_Word</group>
      <groupName>字词问题</groupName>
      <ability>L2_Typo</ability>
      <abilityName>字词错误</abilityName>
      <candidateList>
        <item>二噁英</item>
      </candidateList>
      <explain/>
      <paraID>6E0C9775</paraID>
      <start>172</start>
      <end>175</end>
      <status>unmodified</status>
      <modifiedWord/>
      <trackRevisions>false</trackRevisions>
    </reviewItem>
    <reviewItem>
      <errorID>493914a5-b972-4d85-a0f2-e9a964630c02</errorID>
      <errorWord>二恶英</errorWord>
      <group>L1_Word</group>
      <groupName>字词问题</groupName>
      <ability>L2_Typo</ability>
      <abilityName>字词错误</abilityName>
      <candidateList>
        <item>二噁英</item>
      </candidateList>
      <explain/>
      <paraID>6E0C9775</paraID>
      <start>197</start>
      <end>200</end>
      <status>unmodified</status>
      <modifiedWord/>
      <trackRevisions>false</trackRevisions>
    </reviewItem>
    <reviewItem>
      <errorID>9d03cdb0-c36b-48f2-b497-f9e8d3da75e3</errorID>
      <errorWord>二恶英</errorWord>
      <group>L1_Word</group>
      <groupName>字词问题</groupName>
      <ability>L2_Typo</ability>
      <abilityName>字词错误</abilityName>
      <candidateList>
        <item>二噁英</item>
      </candidateList>
      <explain/>
      <paraID>6E0C9775</paraID>
      <start>211</start>
      <end>214</end>
      <status>unmodified</status>
      <modifiedWord/>
      <trackRevisions>false</trackRevisions>
    </reviewItem>
    <reviewItem>
      <errorID>974ef7d6-0cc5-4f1d-90b2-84c312f829bf</errorID>
      <errorWord>恶</errorWord>
      <group>L1_Word</group>
      <groupName>字词问题</groupName>
      <ability>L2_Typo</ability>
      <abilityName>字词错误</abilityName>
      <candidateList>
        <item>噁</item>
      </candidateList>
      <explain/>
      <paraID>34DA09C4</paraID>
      <start>62</start>
      <end>63</end>
      <status>unmodified</status>
      <modifiedWord/>
      <trackRevisions>false</trackRevisions>
    </reviewItem>
    <reviewItem>
      <errorID>86e2eb6b-d441-4e87-b2a3-ec90eccd2189</errorID>
      <errorWord>(</errorWord>
      <group>L1_Format</group>
      <groupName>格式问题</groupName>
      <ability>L2_HalfPunc</ability>
      <abilityName>全半角检查</abilityName>
      <candidateList>
        <item>（</item>
      </candidateList>
      <explain>文本全半角错误。</explain>
      <paraID>3BAD80A8</paraID>
      <start>79</start>
      <end>80</end>
      <status>unmodified</status>
      <modifiedWord/>
      <trackRevisions>false</trackRevisions>
    </reviewItem>
    <reviewItem>
      <errorID>50747238-572e-40b8-833e-036442033114</errorID>
      <errorWord>)</errorWord>
      <group>L1_Format</group>
      <groupName>格式问题</groupName>
      <ability>L2_HalfPunc</ability>
      <abilityName>全半角检查</abilityName>
      <candidateList>
        <item>）</item>
      </candidateList>
      <explain>文本全半角错误。</explain>
      <paraID>3BAD80A8</paraID>
      <start>81</start>
      <end>82</end>
      <status>unmodified</status>
      <modifiedWord/>
      <trackRevisions>false</trackRevisions>
    </reviewItem>
    <reviewItem>
      <errorID>370983cc-7a3e-472a-8ef1-15f59200cbca</errorID>
      <errorWord>,</errorWord>
      <group>L1_Format</group>
      <groupName>格式问题</groupName>
      <ability>L2_HalfPunc</ability>
      <abilityName>全半角检查</abilityName>
      <candidateList>
        <item>，</item>
      </candidateList>
      <explain>文本全半角错误。</explain>
      <paraID>3BAD80A8</paraID>
      <start>135</start>
      <end>136</end>
      <status>unmodified</status>
      <modifiedWord/>
      <trackRevisions>false</trackRevisions>
    </reviewItem>
    <reviewItem>
      <errorID>7944e73b-0857-4bd5-987f-9db8730e41cd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5111D92</paraID>
      <start>7</start>
      <end>8</end>
      <status>unmodified</status>
      <modifiedWord/>
      <trackRevisions>false</trackRevisions>
    </reviewItem>
    <reviewItem>
      <errorID>87123ef1-a1a5-4491-a114-98ea4e96c108</errorID>
      <errorWord>约为</errorWord>
      <group>L1_Word</group>
      <groupName>字词问题</groupName>
      <ability>L2_Typo</ability>
      <abilityName>字词错误</abilityName>
      <candidateList>
        <item>约</item>
      </candidateList>
      <explain/>
      <paraID> 5111D92</paraID>
      <start>38</start>
      <end>40</end>
      <status>unmodified</status>
      <modifiedWord/>
      <trackRevisions>false</trackRevisions>
    </reviewItem>
    <reviewItem>
      <errorID>191a04d0-d79d-4459-b2b9-11fa27e992af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63CE2BB7</paraID>
      <start>5</start>
      <end>6</end>
      <status>unmodified</status>
      <modifiedWord/>
      <trackRevisions>false</trackRevisions>
    </reviewItem>
    <reviewItem>
      <errorID>a6f2390f-926b-4b2b-a57e-f7d04bb25d3a</errorID>
      <errorWord>约为</errorWord>
      <group>L1_Word</group>
      <groupName>字词问题</groupName>
      <ability>L2_Typo</ability>
      <abilityName>字词错误</abilityName>
      <candidateList>
        <item>约</item>
      </candidateList>
      <explain/>
      <paraID>63CE2BB7</paraID>
      <start>35</start>
      <end>37</end>
      <status>unmodified</status>
      <modifiedWord/>
      <trackRevisions>false</trackRevisions>
    </reviewItem>
    <reviewItem>
      <errorID>18827467-fe65-4ac7-97c1-cf3ec997d68e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1CB87699</paraID>
      <start>7</start>
      <end>8</end>
      <status>unmodified</status>
      <modifiedWord/>
      <trackRevisions>false</trackRevisions>
    </reviewItem>
    <reviewItem>
      <errorID>a57d10a7-4028-461d-9d95-cb53fb2dc8b9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197A8C3C</paraID>
      <start>107</start>
      <end>108</end>
      <status>unmodified</status>
      <modifiedWord/>
      <trackRevisions>false</trackRevisions>
    </reviewItem>
    <reviewItem>
      <errorID>10741ae5-7334-4e18-b5b3-4d736a5354c8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4A932D11</paraID>
      <start>47</start>
      <end>48</end>
      <status>unmodified</status>
      <modifiedWord/>
      <trackRevisions>false</trackRevisions>
    </reviewItem>
    <reviewItem>
      <errorID>2719bbba-abb4-480e-b903-3985b235cfba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4A932D11</paraID>
      <start>86</start>
      <end>87</end>
      <status>unmodified</status>
      <modifiedWord/>
      <trackRevisions>false</trackRevisions>
    </reviewItem>
    <reviewItem>
      <errorID>f7d50956-8b30-45df-b5d2-7336ed39c66f</errorID>
      <errorWord>；</errorWord>
      <group>L1_Word</group>
      <groupName>字词问题</groupName>
      <ability>L2_Typo</ability>
      <abilityName>字词错误</abilityName>
      <candidateList>
        <item>；在</item>
      </candidateList>
      <explain/>
      <paraID> 2B6E5F5</paraID>
      <start>159</start>
      <end>160</end>
      <status>unmodified</status>
      <modifiedWord/>
      <trackRevisions>false</trackRevisions>
    </reviewItem>
    <reviewItem>
      <errorID>d352e37d-0dc4-4a63-803c-6de00e41573d</errorID>
      <errorWord>拌合</errorWord>
      <group>L1_Word</group>
      <groupName>字词问题</groupName>
      <ability>L2_Typo</ability>
      <abilityName>字词错误</abilityName>
      <candidateList>
        <item>拌和</item>
      </candidateList>
      <explain/>
      <paraID>43A1D99E</paraID>
      <start>2</start>
      <end>4</end>
      <status>modified</status>
      <modifiedWord>拌和</modifiedWord>
      <trackRevisions>false</trackRevisions>
    </reviewItem>
    <reviewItem>
      <errorID>daae7732-bf97-4ebe-bcbd-e391e83d77f4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58BD9982</paraID>
      <start>19</start>
      <end>20</end>
      <status>unmodified</status>
      <modifiedWord/>
      <trackRevisions>false</trackRevisions>
    </reviewItem>
    <reviewItem>
      <errorID>43192875-0708-4982-97d4-863dcc610a81</errorID>
      <errorWord>时放</errorWord>
      <group>L1_Word</group>
      <groupName>字词问题</groupName>
      <ability>L2_Typo</ability>
      <abilityName>字词错误</abilityName>
      <candidateList>
        <item>释放</item>
      </candidateList>
      <explain/>
      <paraID>58BD9982</paraID>
      <start>81</start>
      <end>83</end>
      <status>unmodified</status>
      <modifiedWord/>
      <trackRevisions>false</trackRevisions>
    </reviewItem>
    <reviewItem>
      <errorID>45e48471-007f-4f74-9121-b344837689fc</errorID>
      <errorWord>装</errorWord>
      <group>L1_Word</group>
      <groupName>字词问题</groupName>
      <ability>L2_Typo</ability>
      <abilityName>字词错误</abilityName>
      <candidateList>
        <item>状</item>
      </candidateList>
      <explain/>
      <paraID>29F62700</paraID>
      <start>12</start>
      <end>13</end>
      <status>unmodified</status>
      <modifiedWord/>
      <trackRevisions>false</trackRevisions>
    </reviewItem>
    <reviewItem>
      <errorID>1af2e067-6365-471c-83c0-af272809a4c7</errorID>
      <errorWord>拌合</errorWord>
      <group>L1_Word</group>
      <groupName>字词问题</groupName>
      <ability>L2_Typo</ability>
      <abilityName>字词错误</abilityName>
      <candidateList>
        <item>拌和</item>
      </candidateList>
      <explain>存在发音相同字词的误用。</explain>
      <paraID>30BE4C35</paraID>
      <start>5</start>
      <end>7</end>
      <status>modified</status>
      <modifiedWord>拌和</modifiedWord>
      <trackRevisions>false</trackRevisions>
    </reviewItem>
    <reviewItem>
      <errorID>a8ef1b0f-f426-4328-af4e-6e259688add3</errorID>
      <errorWord>拌合站</errorWord>
      <group>L1_Word</group>
      <groupName>字词问题</groupName>
      <ability>L2_Typo</ability>
      <abilityName>字词错误</abilityName>
      <candidateList>
        <item>拌和站</item>
      </candidateList>
      <explain>存在发音相同字词的误用。</explain>
      <paraID>13074306</paraID>
      <start>272</start>
      <end>275</end>
      <status>modified</status>
      <modifiedWord>拌和站</modifiedWord>
      <trackRevisions>false</trackRevisions>
    </reviewItem>
    <reviewItem>
      <errorID>16e6bf46-3e7e-4812-a454-b52626f6ed79</errorID>
      <errorWord>年</errorWord>
      <group>L1_Word</group>
      <groupName>字词问题</groupName>
      <ability>L2_Typo</ability>
      <abilityName>字词错误</abilityName>
      <candidateList>
        <item>年度</item>
      </candidateList>
      <explain/>
      <paraID>755075A5</paraID>
      <start>0</start>
      <end>1</end>
      <status>unmodified</status>
      <modifiedWord/>
      <trackRevisions>false</trackRevisions>
    </reviewItem>
    <reviewItem>
      <errorID>58173302-3676-4983-ae7a-507ff4244e29</errorID>
      <errorWord>如果是</errorWord>
      <group>L1_Word</group>
      <groupName>字词问题</groupName>
      <ability>L2_Typo</ability>
      <abilityName>字词错误</abilityName>
      <candidateList>
        <item>如果</item>
      </candidateList>
      <explain>〈连〉表示假设：你～有困难，我可以帮助你。</explain>
      <paraID> F905949</paraID>
      <start>17</start>
      <end>20</end>
      <status>unmodified</status>
      <modifiedWord/>
      <trackRevisions>false</trackRevisions>
    </reviewItem>
    <reviewItem>
      <errorID>1680e5d7-684e-4a49-a186-980406996c89</errorID>
      <errorWord>抛洒</errorWord>
      <group>L1_Word</group>
      <groupName>字词问题</groupName>
      <ability>L2_Typo</ability>
      <abilityName>字词错误</abilityName>
      <candidateList>
        <item>抛撒</item>
      </candidateList>
      <explain>存在发音相同字词的误用。</explain>
      <paraID>4184BC19</paraID>
      <start>68</start>
      <end>70</end>
      <status>modified</status>
      <modifiedWord>抛撒</modifiedWord>
      <trackRevisions>false</trackRevisions>
    </reviewItem>
    <reviewItem>
      <errorID>6bc1933f-4207-4492-83f1-6a0f85701329</errorID>
      <errorWord>程</errorWord>
      <group>L1_Word</group>
      <groupName>字词问题</groupName>
      <ability>L2_Typo</ability>
      <abilityName>字词错误</abilityName>
      <candidateList>
        <item>程中</item>
      </candidateList>
      <explain/>
      <paraID>4184BC19</paraID>
      <start>115</start>
      <end>116</end>
      <status>unmodified</status>
      <modifiedWord/>
      <trackRevisions>false</trackRevisions>
    </reviewItem>
    <reviewItem>
      <errorID>7514234e-5da7-42d0-9761-515a096bf3d3</errorID>
      <errorWord>作</errorWord>
      <group>L1_Word</group>
      <groupName>字词问题</groupName>
      <ability>L2_Typo</ability>
      <abilityName>字词错误</abilityName>
      <candidateList>
        <item>做</item>
      </candidateList>
      <explain>存在发音相同字词的误用。</explain>
      <paraID>4184BC19</paraID>
      <start>132</start>
      <end>133</end>
      <status>unmodified</status>
      <modifiedWord/>
      <trackRevisions>false</trackRevisions>
    </reviewItem>
    <reviewItem>
      <errorID>ce971e3b-e616-40e5-81e9-0ce31547f057</errorID>
      <errorWord>程</errorWord>
      <group>L1_Word</group>
      <groupName>字词问题</groupName>
      <ability>L2_Typo</ability>
      <abilityName>字词错误</abilityName>
      <candidateList>
        <item>程中</item>
      </candidateList>
      <explain/>
      <paraID>4184BC19</paraID>
      <start>156</start>
      <end>157</end>
      <status>unmodified</status>
      <modifiedWord/>
      <trackRevisions>false</trackRevisions>
    </reviewItem>
    <reviewItem>
      <errorID>0992d72d-f3f0-4aee-b60a-4cd630554cdb</errorID>
      <errorWord>u：</errorWord>
      <group>L1_Format</group>
      <groupName>格式问题</groupName>
      <ability>L2_Ordinal</ability>
      <abilityName>序号格式</abilityName>
      <candidateList>
        <item>u.</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4DA67D4C</paraID>
      <start>0</start>
      <end>2</end>
      <status>unmodified</status>
      <modifiedWord/>
      <trackRevisions>false</trackRevisions>
    </reviewItem>
    <reviewItem>
      <errorID>31a90db7-f8d4-4554-99b2-49cfc42f89ef</errorID>
      <errorWord>配置</errorWord>
      <group>L1_Word</group>
      <groupName>字词问题</groupName>
      <ability>L2_Typo</ability>
      <abilityName>字词错误</abilityName>
      <candidateList>
        <item>配制</item>
      </candidateList>
      <explain/>
      <paraID>33ED4B98</paraID>
      <start>8</start>
      <end>10</end>
      <status>unmodified</status>
      <modifiedWord/>
      <trackRevisions>false</trackRevisions>
    </reviewItem>
    <reviewItem>
      <errorID>1302abdb-6c64-45fe-bde1-bcf7c6e5b2d6</errorID>
      <errorWord>含硫量取</errorWord>
      <group>L1_Word</group>
      <groupName>字词问题</groupName>
      <ability>L2_Typo</ability>
      <abilityName>字词错误</abilityName>
      <candidateList>
        <item>含硫量</item>
      </candidateList>
      <explain/>
      <paraID>1722C1E1</paraID>
      <start>103</start>
      <end>107</end>
      <status>unmodified</status>
      <modifiedWord/>
      <trackRevisions>false</trackRevisions>
    </reviewItem>
    <reviewItem>
      <errorID>1041825c-b103-4171-8c3a-2768cbc39431</errorID>
      <errorWord>-</errorWord>
      <group>L1_Format</group>
      <groupName>格式问题</groupName>
      <ability>L2_HalfPunc</ability>
      <abilityName>全半角检查</abilityName>
      <candidateList>
        <item>－</item>
      </candidateList>
      <explain>文本全半角错误。</explain>
      <paraID>1A3C70A0</paraID>
      <start>70</start>
      <end>71</end>
      <status>unmodified</status>
      <modifiedWord/>
      <trackRevisions>false</trackRevisions>
    </reviewItem>
    <reviewItem>
      <errorID>e89e0764-86a2-425b-b264-d5d2994809f2</errorID>
      <errorWord>含硫量取</errorWord>
      <group>L1_Word</group>
      <groupName>字词问题</groupName>
      <ability>L2_Typo</ability>
      <abilityName>字词错误</abilityName>
      <candidateList>
        <item>含硫量</item>
      </candidateList>
      <explain/>
      <paraID>10D836D6</paraID>
      <start>103</start>
      <end>107</end>
      <status>unmodified</status>
      <modifiedWord/>
      <trackRevisions>false</trackRevisions>
    </reviewItem>
    <reviewItem>
      <errorID>fb1e3c2b-aa4c-45fb-9d36-de200d275229</errorID>
      <errorWord>-</errorWord>
      <group>L1_Format</group>
      <groupName>格式问题</groupName>
      <ability>L2_HalfPunc</ability>
      <abilityName>全半角检查</abilityName>
      <candidateList>
        <item>－</item>
      </candidateList>
      <explain>文本全半角错误。</explain>
      <paraID>3C558465</paraID>
      <start>43</start>
      <end>44</end>
      <status>unmodified</status>
      <modifiedWord/>
      <trackRevisions>false</trackRevisions>
    </reviewItem>
    <reviewItem>
      <errorID>b28908ae-cac0-4a70-9484-b306b679de4f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AFBE76B</paraID>
      <start>266</start>
      <end>267</end>
      <status>unmodified</status>
      <modifiedWord/>
      <trackRevisions>false</trackRevisions>
    </reviewItem>
    <reviewItem>
      <errorID>181e20ef-434f-4018-8b32-466dba31a6b8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AFBE76B</paraID>
      <start>279</start>
      <end>280</end>
      <status>unmodified</status>
      <modifiedWord/>
      <trackRevisions>false</trackRevisions>
    </reviewItem>
    <reviewItem>
      <errorID>ca6bc7cc-32ac-4255-9cfa-c78dd3972904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AFBE76B</paraID>
      <start>478</start>
      <end>479</end>
      <status>unmodified</status>
      <modifiedWord/>
      <trackRevisions>false</trackRevisions>
    </reviewItem>
    <reviewItem>
      <errorID>3f4184ee-6c1b-477c-99d4-d4542e652bbe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AFBE76B</paraID>
      <start>491</start>
      <end>492</end>
      <status>unmodified</status>
      <modifiedWord/>
      <trackRevisions>false</trackRevisions>
    </reviewItem>
    <reviewItem>
      <errorID>9522e24b-8f9d-4dd6-846e-ff1126837ef4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AFBE76B</paraID>
      <start>510</start>
      <end>511</end>
      <status>unmodified</status>
      <modifiedWord/>
      <trackRevisions>false</trackRevisions>
    </reviewItem>
    <reviewItem>
      <errorID>2fbc9f9b-8f05-41a9-93e5-f9e85745dbad</errorID>
      <errorWord>班</errorWord>
      <group>L1_Word</group>
      <groupName>字词问题</groupName>
      <ability>L2_Typo</ability>
      <abilityName>字词错误</abilityName>
      <candidateList>
        <item>拌</item>
      </candidateList>
      <explain>存在发音相同字词的误用。</explain>
      <paraID>5DE33159</paraID>
      <start>118</start>
      <end>119</end>
      <status>modified</status>
      <modifiedWord>拌</modifiedWord>
      <trackRevisions>false</trackRevisions>
    </reviewItem>
    <reviewItem>
      <errorID>6d25d393-7654-4175-8a6b-2d02173faf0f</errorID>
      <errorWord>还应</errorWord>
      <group>L1_Word</group>
      <groupName>字词问题</groupName>
      <ability>L2_Typo</ability>
      <abilityName>字词错误</abilityName>
      <candidateList>
        <item>不应</item>
      </candidateList>
      <explain/>
      <paraID> 8517C05</paraID>
      <start>183</start>
      <end>185</end>
      <status>unmodified</status>
      <modifiedWord/>
      <trackRevisions>false</trackRevisions>
    </reviewItem>
    <reviewItem>
      <errorID>0807ecc8-3cb0-4fc6-9943-78a887c79257</errorID>
      <errorWord>减震</errorWord>
      <group>L1_Word</group>
      <groupName>字词问题</groupName>
      <ability>L2_Typo</ability>
      <abilityName>字词错误</abilityName>
      <candidateList>
        <item>减振</item>
      </candidateList>
      <explain>存在发音相同字词的误用。</explain>
      <paraID>42A77CEB</paraID>
      <start>8</start>
      <end>10</end>
      <status>modified</status>
      <modifiedWord>减振</modifiedWord>
      <trackRevisions>false</trackRevisions>
    </reviewItem>
    <reviewItem>
      <errorID>a11191a1-09a9-4cbc-bd70-302aed6309f6</errorID>
      <errorWord>：</errorWord>
      <group>L1_Format</group>
      <groupName>格式问题</groupName>
      <ability>L2_HalfPunc</ability>
      <abilityName>全半角检查</abilityName>
      <candidateList>
        <item>:</item>
      </candidateList>
      <explain>文本全半角错误。</explain>
      <paraID>45F2BEFC</paraID>
      <start>2</start>
      <end>3</end>
      <status>unmodified</status>
      <modifiedWord/>
      <trackRevisions>false</trackRevisions>
    </reviewItem>
    <reviewItem>
      <errorID>dd38eb2d-65ef-46e9-9767-053908f375af</errorID>
      <errorWord>：</errorWord>
      <group>L1_Format</group>
      <groupName>格式问题</groupName>
      <ability>L2_HalfPunc</ability>
      <abilityName>全半角检查</abilityName>
      <candidateList>
        <item>:</item>
      </candidateList>
      <explain>文本全半角错误。</explain>
      <paraID>45F2BEFC</paraID>
      <start>8</start>
      <end>9</end>
      <status>unmodified</status>
      <modifiedWord/>
      <trackRevisions>false</trackRevisions>
    </reviewItem>
    <reviewItem>
      <errorID>b209f10e-047e-47c6-93d8-b125558d22af</errorID>
      <errorWord>减震</errorWord>
      <group>L1_Word</group>
      <groupName>字词问题</groupName>
      <ability>L2_Typo</ability>
      <abilityName>字词错误</abilityName>
      <candidateList>
        <item>减振</item>
      </candidateList>
      <explain>存在发音相同字词的误用。</explain>
      <paraID>149E76EE</paraID>
      <start>8</start>
      <end>10</end>
      <status>modified</status>
      <modifiedWord>减振</modifiedWord>
      <trackRevisions>false</trackRevisions>
    </reviewItem>
    <reviewItem>
      <errorID>39c09d8c-4b9d-497a-8276-856de4a20e57</errorID>
      <errorWord>减震</errorWord>
      <group>L1_Word</group>
      <groupName>字词问题</groupName>
      <ability>L2_Typo</ability>
      <abilityName>字词错误</abilityName>
      <candidateList>
        <item>减振</item>
      </candidateList>
      <explain>存在发音相同字词的误用。</explain>
      <paraID>5F35EC6B</paraID>
      <start>8</start>
      <end>10</end>
      <status>modified</status>
      <modifiedWord>减振</modifiedWord>
      <trackRevisions>false</trackRevisions>
    </reviewItem>
    <reviewItem>
      <errorID>533230be-9604-4388-85e4-9754b6afce5d</errorID>
      <errorWord>减震</errorWord>
      <group>L1_Word</group>
      <groupName>字词问题</groupName>
      <ability>L2_Typo</ability>
      <abilityName>字词错误</abilityName>
      <candidateList>
        <item>减振</item>
      </candidateList>
      <explain>存在发音相同字词的误用。</explain>
      <paraID>1189B7CF</paraID>
      <start>8</start>
      <end>10</end>
      <status>modified</status>
      <modifiedWord>减振</modifiedWord>
      <trackRevisions>false</trackRevisions>
    </reviewItem>
    <reviewItem>
      <errorID>321c2866-37ae-41ba-b12c-81ce68673636</errorID>
      <errorWord>减震</errorWord>
      <group>L1_Word</group>
      <groupName>字词问题</groupName>
      <ability>L2_Typo</ability>
      <abilityName>字词错误</abilityName>
      <candidateList>
        <item>减振</item>
      </candidateList>
      <explain>存在发音相同字词的误用。</explain>
      <paraID>2F196E1B</paraID>
      <start>8</start>
      <end>10</end>
      <status>modified</status>
      <modifiedWord>减振</modifiedWord>
      <trackRevisions>false</trackRevisions>
    </reviewItem>
    <reviewItem>
      <errorID>06681872-4231-40c2-942e-e041e81713f2</errorID>
      <errorWord>减震</errorWord>
      <group>L1_Word</group>
      <groupName>字词问题</groupName>
      <ability>L2_Typo</ability>
      <abilityName>字词错误</abilityName>
      <candidateList>
        <item>减振</item>
      </candidateList>
      <explain>存在发音相同字词的误用。</explain>
      <paraID>4B839C47</paraID>
      <start>8</start>
      <end>10</end>
      <status>modified</status>
      <modifiedWord>减振</modifiedWord>
      <trackRevisions>false</trackRevisions>
    </reviewItem>
    <reviewItem>
      <errorID>55480e54-f917-4f03-bdd2-0c977c1ca462</errorID>
      <errorWord>减震</errorWord>
      <group>L1_Word</group>
      <groupName>字词问题</groupName>
      <ability>L2_Typo</ability>
      <abilityName>字词错误</abilityName>
      <candidateList>
        <item>减振</item>
      </candidateList>
      <explain>存在发音相同字词的误用。</explain>
      <paraID>35CF17D7</paraID>
      <start>8</start>
      <end>10</end>
      <status>modified</status>
      <modifiedWord>减振</modifiedWord>
      <trackRevisions>false</trackRevisions>
    </reviewItem>
    <reviewItem>
      <errorID>832bc25d-8b85-42ca-9239-e2d70d16a503</errorID>
      <errorWord>减震</errorWord>
      <group>L1_Word</group>
      <groupName>字词问题</groupName>
      <ability>L2_Typo</ability>
      <abilityName>字词错误</abilityName>
      <candidateList>
        <item>减振</item>
      </candidateList>
      <explain>存在发音相同字词的误用。</explain>
      <paraID>1752E65E</paraID>
      <start>8</start>
      <end>10</end>
      <status>modified</status>
      <modifiedWord>减振</modifiedWord>
      <trackRevisions>false</trackRevisions>
    </reviewItem>
    <reviewItem>
      <errorID>fd24ec7e-8e33-4faa-b58e-f0292be05712</errorID>
      <errorWord>：</errorWord>
      <group>L1_Format</group>
      <groupName>格式问题</groupName>
      <ability>L2_HalfPunc</ability>
      <abilityName>全半角检查</abilityName>
      <candidateList>
        <item>:</item>
      </candidateList>
      <explain>文本全半角错误。</explain>
      <paraID>7BE7E07E</paraID>
      <start>2</start>
      <end>3</end>
      <status>unmodified</status>
      <modifiedWord/>
      <trackRevisions>false</trackRevisions>
    </reviewItem>
    <reviewItem>
      <errorID>df91251c-2555-4b63-8d4a-02234ce59605</errorID>
      <errorWord>：</errorWord>
      <group>L1_Format</group>
      <groupName>格式问题</groupName>
      <ability>L2_HalfPunc</ability>
      <abilityName>全半角检查</abilityName>
      <candidateList>
        <item>:</item>
      </candidateList>
      <explain>文本全半角错误。</explain>
      <paraID>7BE7E07E</paraID>
      <start>8</start>
      <end>9</end>
      <status>unmodified</status>
      <modifiedWord/>
      <trackRevisions>false</trackRevisions>
    </reviewItem>
    <reviewItem>
      <errorID>5578e08f-ee29-4afb-b35e-4e25c185a0b0</errorID>
      <errorWord>拌合</errorWord>
      <group>L1_Word</group>
      <groupName>字词问题</groupName>
      <ability>L2_Typo</ability>
      <abilityName>字词错误</abilityName>
      <candidateList>
        <item>拌和</item>
      </candidateList>
      <explain>存在发音相同字词的误用。</explain>
      <paraID>51DC1D76</paraID>
      <start>42</start>
      <end>44</end>
      <status>unmodified</status>
      <modifiedWord/>
      <trackRevisions>false</trackRevisions>
    </reviewItem>
    <reviewItem>
      <errorID>d31c1688-831e-429d-b6a6-31bb89286356</errorID>
      <errorWord>拌合</errorWord>
      <group>L1_Word</group>
      <groupName>字词问题</groupName>
      <ability>L2_Typo</ability>
      <abilityName>字词错误</abilityName>
      <candidateList>
        <item>拌和</item>
      </candidateList>
      <explain/>
      <paraID>1D71AFC1</paraID>
      <start>8</start>
      <end>10</end>
      <status>unmodified</status>
      <modifiedWord/>
      <trackRevisions>false</trackRevisions>
    </reviewItem>
    <reviewItem>
      <errorID>a3a1bb8f-5cd9-4a4b-a3df-b0d9983f24c8</errorID>
      <errorWord>拌和</errorWord>
      <group>L1_Word</group>
      <groupName>字词问题</groupName>
      <ability>L2_Typo</ability>
      <abilityName>字词错误</abilityName>
      <candidateList>
        <item>拌合</item>
      </candidateList>
      <explain/>
      <paraID>52750F78</paraID>
      <start>85</start>
      <end>87</end>
      <status>unmodified</status>
      <modifiedWord/>
      <trackRevisions>false</trackRevisions>
    </reviewItem>
    <reviewItem>
      <errorID>cdba6ec9-ae42-4a4f-969c-44608569c198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7A5F0F25</paraID>
      <start>111</start>
      <end>112</end>
      <status>unmodified</status>
      <modifiedWord/>
      <trackRevisions>false</trackRevisions>
    </reviewItem>
    <reviewItem>
      <errorID>6c15b802-a8af-4215-86e2-ec815eb01da7</errorID>
      <errorWord>拌合</errorWord>
      <group>L1_Word</group>
      <groupName>字词问题</groupName>
      <ability>L2_Typo</ability>
      <abilityName>字词错误</abilityName>
      <candidateList>
        <item>拌和</item>
      </candidateList>
      <explain>存在发音相同字词的误用。</explain>
      <paraID>622B27D6</paraID>
      <start>5</start>
      <end>7</end>
      <status>unmodified</status>
      <modifiedWord/>
      <trackRevisions>false</trackRevisions>
    </reviewItem>
    <reviewItem>
      <errorID>e372073c-2ff2-443a-a7f0-adcde7c4ad09</errorID>
      <errorWord>、及其</errorWord>
      <group>L1_Punc</group>
      <groupName>标点问题</groupName>
      <ability>L2_Punc</ability>
      <abilityName>标点符号检查</abilityName>
      <candidateList>
        <item>及其</item>
      </candidateList>
      <explain/>
      <paraID>7B5FCF93</paraID>
      <start>288</start>
      <end>291</end>
      <status>unmodified</status>
      <modifiedWord/>
      <trackRevisions>false</trackRevisions>
    </reviewItem>
    <reviewItem>
      <errorID>630bafb9-ed66-48d7-b308-d5cb31d1199c</errorID>
      <errorWord>拌合</errorWord>
      <group>L1_Word</group>
      <groupName>字词问题</groupName>
      <ability>L2_Typo</ability>
      <abilityName>字词错误</abilityName>
      <candidateList>
        <item>拌和</item>
      </candidateList>
      <explain/>
      <paraID>11761028</paraID>
      <start>52</start>
      <end>54</end>
      <status>unmodified</status>
      <modifiedWord/>
      <trackRevisions>false</trackRevisions>
    </reviewItem>
    <reviewItem>
      <errorID>1faa777c-5800-43c7-98b0-ebcd082623a7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15FD249A</paraID>
      <start>58</start>
      <end>59</end>
      <status>unmodified</status>
      <modifiedWord/>
      <trackRevisions>false</trackRevisions>
    </reviewItem>
    <reviewItem>
      <errorID>47152fff-39c5-47b8-bec4-ab51b45a9cd8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15FD249A</paraID>
      <start>94</start>
      <end>95</end>
      <status>unmodified</status>
      <modifiedWord/>
      <trackRevisions>false</trackRevisions>
    </reviewItem>
    <reviewItem>
      <errorID>dc98a129-78f5-416f-a550-ac282f32a22d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6EBB6AD7</paraID>
      <start>7</start>
      <end>8</end>
      <status>unmodified</status>
      <modifiedWord/>
      <trackRevisions>false</trackRevisions>
    </reviewItem>
    <reviewItem>
      <errorID>fc88b460-fff4-4841-be29-e8acc083c615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14E86937</paraID>
      <start>7</start>
      <end>8</end>
      <status>unmodified</status>
      <modifiedWord/>
      <trackRevisions>false</trackRevisions>
    </reviewItem>
    <reviewItem>
      <errorID>8883adf8-6a4c-495d-a0d7-1a059666ac59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1C721083</paraID>
      <start>7</start>
      <end>8</end>
      <status>unmodified</status>
      <modifiedWord/>
      <trackRevisions>false</trackRevisions>
    </reviewItem>
    <reviewItem>
      <errorID>1bbb4529-b426-454e-aa97-88d357f52e4d</errorID>
      <errorWord>拌合</errorWord>
      <group>L1_Word</group>
      <groupName>字词问题</groupName>
      <ability>L2_Typo</ability>
      <abilityName>字词错误</abilityName>
      <candidateList>
        <item>拌和</item>
      </candidateList>
      <explain>存在发音相同字词的误用。</explain>
      <paraID>12D76020</paraID>
      <start>5</start>
      <end>7</end>
      <status>unmodified</status>
      <modifiedWord/>
      <trackRevisions>false</trackRevisions>
    </reviewItem>
    <reviewItem>
      <errorID>59ccaec4-cd74-4ee8-b805-8064b3963871</errorID>
      <errorWord>-</errorWord>
      <group>L1_Format</group>
      <groupName>格式问题</groupName>
      <ability>L2_HalfPunc</ability>
      <abilityName>全半角检查</abilityName>
      <candidateList>
        <item>－</item>
      </candidateList>
      <explain>文本全半角错误。</explain>
      <paraID>7FA6C0F2</paraID>
      <start>105</start>
      <end>106</end>
      <status>unmodified</status>
      <modifiedWord/>
      <trackRevisions>false</trackRevisions>
    </reviewItem>
    <reviewItem>
      <errorID>47a484d7-7e1e-4ddb-be8f-46aab2dcf20a</errorID>
      <errorWord>的颗粒物</errorWord>
      <group>L1_Knowledge</group>
      <groupName>知识性问题</groupName>
      <ability>L2_Term</ability>
      <abilityName>专业术语</abilityName>
      <candidateList>
        <item>细颗粒物</item>
      </candidateList>
      <explain/>
      <paraID> D5076F8</paraID>
      <start>17</start>
      <end>21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5DE94-D80A-4699-80AB-B4F32B122F81}">
  <ds:schemaRefs/>
</ds:datastoreItem>
</file>

<file path=customXml/itemProps3.xml><?xml version="1.0" encoding="utf-8"?>
<ds:datastoreItem xmlns:ds="http://schemas.openxmlformats.org/officeDocument/2006/customXml" ds:itemID="{3bebf310-23ab-43f5-b042-f2565b88ed39}">
  <ds:schemaRefs/>
</ds:datastoreItem>
</file>

<file path=docProps/app.xml><?xml version="1.0" encoding="utf-8"?>
<Properties xmlns="http://schemas.openxmlformats.org/officeDocument/2006/extended-properties" xmlns:vt="http://schemas.openxmlformats.org/officeDocument/2006/docPropsVTypes">
  <Template>Normal</Template>
  <Pages>72</Pages>
  <Words>6164</Words>
  <Characters>6438</Characters>
  <Lines>618</Lines>
  <Paragraphs>174</Paragraphs>
  <TotalTime>7</TotalTime>
  <ScaleCrop>false</ScaleCrop>
  <LinksUpToDate>false</LinksUpToDate>
  <CharactersWithSpaces>6532</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2025-07-09T20:35:00Z</dcterms:created>
  <dc:creator>pc</dc:creator>
  <cp:lastModifiedBy>Administrator</cp:lastModifiedBy>
  <cp:lastPrinted>2025-05-22T01:24:00Z</cp:lastPrinted>
  <dcterms:modified xsi:type="dcterms:W3CDTF">2026-02-05T07:04:53Z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0CC77EB079BB496089F90309911E20CF_13</vt:lpwstr>
  </property>
  <property fmtid="{D5CDD505-2E9C-101B-9397-08002B2CF9AE}" pid="4" name="KSOTemplateDocerSaveRecord">
    <vt:lpwstr>eyJoZGlkIjoiMWMxYjE0ODY0YzUzMzU2N2EyOTFkYjA4ZWVlNmY4NDEiLCJ1c2VySWQiOiI2NTgwMzMwNjkifQ==</vt:lpwstr>
  </property>
</Properties>
</file>